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E81A" w14:textId="448F3DA2" w:rsidR="003713D0" w:rsidRPr="004F4090" w:rsidRDefault="006506D7" w:rsidP="00C63DEE">
      <w:pPr>
        <w:tabs>
          <w:tab w:val="left" w:pos="5472"/>
          <w:tab w:val="left" w:pos="6912"/>
        </w:tabs>
        <w:spacing w:after="0" w:line="240" w:lineRule="auto"/>
        <w:jc w:val="both"/>
        <w:rPr>
          <w:rFonts w:ascii="Arial" w:hAnsi="Arial" w:cs="Arial"/>
          <w:b/>
          <w:color w:val="000000" w:themeColor="text1"/>
          <w:sz w:val="24"/>
          <w:szCs w:val="24"/>
        </w:rPr>
      </w:pPr>
      <w:r w:rsidRPr="004F4090">
        <w:rPr>
          <w:rFonts w:ascii="Arial" w:hAnsi="Arial" w:cs="Arial"/>
          <w:b/>
          <w:color w:val="000000" w:themeColor="text1"/>
          <w:sz w:val="24"/>
          <w:szCs w:val="24"/>
        </w:rPr>
        <w:tab/>
      </w:r>
      <w:r w:rsidRPr="004F4090">
        <w:rPr>
          <w:rFonts w:ascii="Arial" w:hAnsi="Arial" w:cs="Arial"/>
          <w:b/>
          <w:color w:val="000000" w:themeColor="text1"/>
          <w:sz w:val="24"/>
          <w:szCs w:val="24"/>
        </w:rPr>
        <w:tab/>
      </w:r>
    </w:p>
    <w:p w14:paraId="635D34BF" w14:textId="77777777" w:rsidR="006E4B2F" w:rsidRPr="004F4090" w:rsidRDefault="006E4B2F" w:rsidP="00C63DEE">
      <w:pPr>
        <w:spacing w:after="0" w:line="240" w:lineRule="auto"/>
        <w:jc w:val="center"/>
        <w:rPr>
          <w:rFonts w:ascii="Arial" w:hAnsi="Arial" w:cs="Arial"/>
          <w:b/>
          <w:color w:val="000000" w:themeColor="text1"/>
          <w:sz w:val="24"/>
          <w:szCs w:val="24"/>
        </w:rPr>
      </w:pPr>
    </w:p>
    <w:p w14:paraId="6C887BC0" w14:textId="77777777" w:rsidR="004F4090" w:rsidRPr="004F4090" w:rsidRDefault="004F4090" w:rsidP="00C63DEE">
      <w:pPr>
        <w:spacing w:after="0" w:line="240" w:lineRule="auto"/>
        <w:jc w:val="center"/>
        <w:rPr>
          <w:rFonts w:ascii="Arial" w:hAnsi="Arial" w:cs="Arial"/>
          <w:b/>
          <w:color w:val="000000" w:themeColor="text1"/>
          <w:sz w:val="24"/>
          <w:szCs w:val="24"/>
        </w:rPr>
      </w:pPr>
      <w:r w:rsidRPr="004F4090">
        <w:rPr>
          <w:rFonts w:ascii="Arial" w:hAnsi="Arial" w:cs="Arial"/>
          <w:b/>
          <w:color w:val="000000" w:themeColor="text1"/>
          <w:sz w:val="24"/>
          <w:szCs w:val="24"/>
        </w:rPr>
        <w:t xml:space="preserve">PROJECT MANAGEMENT </w:t>
      </w:r>
      <w:r w:rsidR="00D470EA" w:rsidRPr="004F4090">
        <w:rPr>
          <w:rFonts w:ascii="Arial" w:hAnsi="Arial" w:cs="Arial"/>
          <w:b/>
          <w:color w:val="000000" w:themeColor="text1"/>
          <w:sz w:val="24"/>
          <w:szCs w:val="24"/>
        </w:rPr>
        <w:t>GUIDELINE</w:t>
      </w:r>
      <w:r w:rsidR="001C11FC" w:rsidRPr="004F4090">
        <w:rPr>
          <w:rFonts w:ascii="Arial" w:hAnsi="Arial" w:cs="Arial"/>
          <w:b/>
          <w:color w:val="000000" w:themeColor="text1"/>
          <w:sz w:val="24"/>
          <w:szCs w:val="24"/>
        </w:rPr>
        <w:t>S</w:t>
      </w:r>
      <w:r w:rsidR="00D470EA" w:rsidRPr="004F4090">
        <w:rPr>
          <w:rFonts w:ascii="Arial" w:hAnsi="Arial" w:cs="Arial"/>
          <w:b/>
          <w:color w:val="000000" w:themeColor="text1"/>
          <w:sz w:val="24"/>
          <w:szCs w:val="24"/>
        </w:rPr>
        <w:t xml:space="preserve"> FOR</w:t>
      </w:r>
      <w:r w:rsidRPr="004F4090">
        <w:rPr>
          <w:rFonts w:ascii="Arial" w:hAnsi="Arial" w:cs="Arial"/>
          <w:b/>
          <w:color w:val="000000" w:themeColor="text1"/>
          <w:sz w:val="24"/>
          <w:szCs w:val="24"/>
        </w:rPr>
        <w:t xml:space="preserve"> </w:t>
      </w:r>
    </w:p>
    <w:p w14:paraId="0F98121C" w14:textId="3FDF172A" w:rsidR="00BC0E7B" w:rsidRPr="004F4090" w:rsidRDefault="004F4090" w:rsidP="00C63DEE">
      <w:pPr>
        <w:spacing w:after="0" w:line="240" w:lineRule="auto"/>
        <w:jc w:val="center"/>
        <w:rPr>
          <w:rFonts w:ascii="Arial" w:hAnsi="Arial" w:cs="Arial"/>
          <w:b/>
          <w:color w:val="000000" w:themeColor="text1"/>
          <w:sz w:val="24"/>
          <w:szCs w:val="24"/>
        </w:rPr>
      </w:pPr>
      <w:r w:rsidRPr="004F4090">
        <w:rPr>
          <w:rFonts w:ascii="Arial" w:hAnsi="Arial" w:cs="Arial"/>
          <w:b/>
          <w:color w:val="000000" w:themeColor="text1"/>
          <w:sz w:val="24"/>
          <w:szCs w:val="24"/>
        </w:rPr>
        <w:t xml:space="preserve">THE </w:t>
      </w:r>
      <w:r w:rsidR="00C63DEE" w:rsidRPr="004F4090">
        <w:rPr>
          <w:rFonts w:ascii="Arial" w:hAnsi="Arial" w:cs="Arial"/>
          <w:b/>
          <w:color w:val="000000" w:themeColor="text1"/>
          <w:sz w:val="24"/>
          <w:szCs w:val="24"/>
        </w:rPr>
        <w:t>ASEAN-KOREA FREE TRADE AREA (</w:t>
      </w:r>
      <w:r w:rsidR="00D470EA" w:rsidRPr="004F4090">
        <w:rPr>
          <w:rFonts w:ascii="Arial" w:hAnsi="Arial" w:cs="Arial"/>
          <w:b/>
          <w:color w:val="000000" w:themeColor="text1"/>
          <w:sz w:val="24"/>
          <w:szCs w:val="24"/>
        </w:rPr>
        <w:t>AKFTA</w:t>
      </w:r>
      <w:r w:rsidR="00C63DEE" w:rsidRPr="004F4090">
        <w:rPr>
          <w:rFonts w:ascii="Arial" w:hAnsi="Arial" w:cs="Arial"/>
          <w:b/>
          <w:color w:val="000000" w:themeColor="text1"/>
          <w:sz w:val="24"/>
          <w:szCs w:val="24"/>
        </w:rPr>
        <w:t>)</w:t>
      </w:r>
      <w:r w:rsidR="00D470EA" w:rsidRPr="004F4090">
        <w:rPr>
          <w:rFonts w:ascii="Arial" w:hAnsi="Arial" w:cs="Arial"/>
          <w:b/>
          <w:color w:val="000000" w:themeColor="text1"/>
          <w:sz w:val="24"/>
          <w:szCs w:val="24"/>
        </w:rPr>
        <w:t xml:space="preserve"> </w:t>
      </w:r>
      <w:r w:rsidRPr="004F4090">
        <w:rPr>
          <w:rFonts w:ascii="Arial" w:hAnsi="Arial" w:cs="Arial"/>
          <w:b/>
          <w:color w:val="000000" w:themeColor="text1"/>
          <w:sz w:val="24"/>
          <w:szCs w:val="24"/>
        </w:rPr>
        <w:t xml:space="preserve">ECONOMIC COOPERATION </w:t>
      </w:r>
    </w:p>
    <w:p w14:paraId="57FB7258" w14:textId="77777777" w:rsidR="00BC0E7B" w:rsidRPr="004F4090" w:rsidRDefault="00BC0E7B" w:rsidP="00C63DEE">
      <w:pPr>
        <w:spacing w:after="0" w:line="240" w:lineRule="auto"/>
        <w:jc w:val="both"/>
        <w:rPr>
          <w:rFonts w:ascii="Arial" w:hAnsi="Arial" w:cs="Arial"/>
          <w:b/>
          <w:color w:val="000000" w:themeColor="text1"/>
          <w:sz w:val="24"/>
          <w:szCs w:val="24"/>
        </w:rPr>
      </w:pPr>
    </w:p>
    <w:p w14:paraId="645E8052" w14:textId="77777777" w:rsidR="003713D0" w:rsidRPr="004F4090" w:rsidRDefault="003713D0" w:rsidP="00C63DEE">
      <w:pPr>
        <w:spacing w:after="0" w:line="240" w:lineRule="auto"/>
        <w:jc w:val="both"/>
        <w:rPr>
          <w:rFonts w:ascii="Arial" w:hAnsi="Arial" w:cs="Arial"/>
          <w:b/>
          <w:color w:val="000000" w:themeColor="text1"/>
          <w:sz w:val="24"/>
          <w:szCs w:val="24"/>
        </w:rPr>
      </w:pPr>
    </w:p>
    <w:p w14:paraId="186DA847" w14:textId="2AA40D13" w:rsidR="003713D0" w:rsidRPr="004F4090" w:rsidRDefault="00F9493A" w:rsidP="00C63DEE">
      <w:pPr>
        <w:spacing w:after="0" w:line="240" w:lineRule="auto"/>
        <w:jc w:val="both"/>
        <w:rPr>
          <w:rFonts w:ascii="Arial" w:hAnsi="Arial" w:cs="Arial"/>
          <w:b/>
          <w:color w:val="000000" w:themeColor="text1"/>
          <w:sz w:val="24"/>
          <w:szCs w:val="24"/>
          <w:lang w:eastAsia="ja-JP"/>
        </w:rPr>
      </w:pPr>
      <w:r w:rsidRPr="004F4090">
        <w:rPr>
          <w:rFonts w:ascii="Arial" w:hAnsi="Arial" w:cs="Arial"/>
          <w:b/>
          <w:color w:val="000000" w:themeColor="text1"/>
          <w:sz w:val="24"/>
          <w:szCs w:val="24"/>
          <w:lang w:eastAsia="ja-JP"/>
        </w:rPr>
        <w:t>Background</w:t>
      </w:r>
    </w:p>
    <w:p w14:paraId="41DD6124" w14:textId="11310C31" w:rsidR="00BC0E7B" w:rsidRPr="004F4090" w:rsidRDefault="006506D7" w:rsidP="00C63DEE">
      <w:pPr>
        <w:tabs>
          <w:tab w:val="left" w:pos="5034"/>
        </w:tabs>
        <w:spacing w:after="0" w:line="240" w:lineRule="auto"/>
        <w:jc w:val="both"/>
        <w:rPr>
          <w:rFonts w:ascii="Arial" w:hAnsi="Arial" w:cs="Arial"/>
          <w:b/>
          <w:color w:val="000000" w:themeColor="text1"/>
          <w:sz w:val="24"/>
          <w:szCs w:val="24"/>
          <w:lang w:eastAsia="ja-JP"/>
        </w:rPr>
      </w:pPr>
      <w:r w:rsidRPr="004F4090">
        <w:rPr>
          <w:rFonts w:ascii="Arial" w:hAnsi="Arial" w:cs="Arial"/>
          <w:b/>
          <w:color w:val="000000" w:themeColor="text1"/>
          <w:sz w:val="24"/>
          <w:szCs w:val="24"/>
          <w:lang w:eastAsia="ja-JP"/>
        </w:rPr>
        <w:tab/>
      </w:r>
    </w:p>
    <w:p w14:paraId="64E48881" w14:textId="5CFC6A5F" w:rsidR="003713D0" w:rsidRPr="004F4090" w:rsidRDefault="00BC0E7B"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 xml:space="preserve">The Framework Agreement on Comprehensive Economic Cooperation </w:t>
      </w:r>
      <w:r w:rsidR="003126A4" w:rsidRPr="004F4090">
        <w:rPr>
          <w:rFonts w:ascii="Arial" w:hAnsi="Arial" w:cs="Arial"/>
          <w:color w:val="000000" w:themeColor="text1"/>
          <w:sz w:val="24"/>
          <w:szCs w:val="24"/>
        </w:rPr>
        <w:t xml:space="preserve">among the Governments of the Member Countries of the Association of Southeast Asian Nations (ASEAN) </w:t>
      </w:r>
      <w:r w:rsidRPr="004F4090">
        <w:rPr>
          <w:rFonts w:ascii="Arial" w:hAnsi="Arial" w:cs="Arial"/>
          <w:color w:val="000000" w:themeColor="text1"/>
          <w:sz w:val="24"/>
          <w:szCs w:val="24"/>
        </w:rPr>
        <w:t xml:space="preserve">and the Republic of Korea </w:t>
      </w:r>
      <w:r w:rsidR="003126A4" w:rsidRPr="004F4090">
        <w:rPr>
          <w:rFonts w:ascii="Arial" w:hAnsi="Arial" w:cs="Arial"/>
          <w:color w:val="000000" w:themeColor="text1"/>
          <w:sz w:val="24"/>
          <w:szCs w:val="24"/>
        </w:rPr>
        <w:t xml:space="preserve">(ROK) </w:t>
      </w:r>
      <w:r w:rsidRPr="004F4090">
        <w:rPr>
          <w:rFonts w:ascii="Arial" w:hAnsi="Arial" w:cs="Arial"/>
          <w:color w:val="000000" w:themeColor="text1"/>
          <w:sz w:val="24"/>
          <w:szCs w:val="24"/>
        </w:rPr>
        <w:t>(</w:t>
      </w:r>
      <w:r w:rsidR="003126A4" w:rsidRPr="004F4090">
        <w:rPr>
          <w:rFonts w:ascii="Arial" w:hAnsi="Arial" w:cs="Arial"/>
          <w:color w:val="000000" w:themeColor="text1"/>
          <w:sz w:val="24"/>
          <w:szCs w:val="24"/>
        </w:rPr>
        <w:t>hereinafter referred to as “</w:t>
      </w:r>
      <w:r w:rsidRPr="004F4090">
        <w:rPr>
          <w:rFonts w:ascii="Arial" w:hAnsi="Arial" w:cs="Arial"/>
          <w:color w:val="000000" w:themeColor="text1"/>
          <w:sz w:val="24"/>
          <w:szCs w:val="24"/>
        </w:rPr>
        <w:t>AKFTA Agreement</w:t>
      </w:r>
      <w:r w:rsidR="003126A4" w:rsidRPr="004F4090">
        <w:rPr>
          <w:rFonts w:ascii="Arial" w:hAnsi="Arial" w:cs="Arial"/>
          <w:color w:val="000000" w:themeColor="text1"/>
          <w:sz w:val="24"/>
          <w:szCs w:val="24"/>
        </w:rPr>
        <w:t>”</w:t>
      </w:r>
      <w:r w:rsidRPr="004F4090">
        <w:rPr>
          <w:rFonts w:ascii="Arial" w:hAnsi="Arial" w:cs="Arial"/>
          <w:color w:val="000000" w:themeColor="text1"/>
          <w:sz w:val="24"/>
          <w:szCs w:val="24"/>
        </w:rPr>
        <w:t xml:space="preserve">) was signed in Kuala Lumpur on 13 December 2005. </w:t>
      </w:r>
      <w:r w:rsidR="00BF7012" w:rsidRPr="004F4090">
        <w:rPr>
          <w:rFonts w:ascii="Arial" w:hAnsi="Arial" w:cs="Arial"/>
          <w:color w:val="000000" w:themeColor="text1"/>
          <w:sz w:val="24"/>
          <w:szCs w:val="24"/>
        </w:rPr>
        <w:t xml:space="preserve">As provided for </w:t>
      </w:r>
      <w:r w:rsidR="00BF7012" w:rsidRPr="004F4090">
        <w:rPr>
          <w:rFonts w:ascii="Arial" w:hAnsi="Arial" w:cs="Arial"/>
          <w:color w:val="000000" w:themeColor="text1"/>
          <w:sz w:val="24"/>
          <w:szCs w:val="24"/>
          <w:lang w:eastAsia="ja-JP"/>
        </w:rPr>
        <w:t xml:space="preserve">in Chapter 3 of the </w:t>
      </w:r>
      <w:r w:rsidR="003126A4" w:rsidRPr="004F4090">
        <w:rPr>
          <w:rFonts w:ascii="Arial" w:hAnsi="Arial" w:cs="Arial"/>
          <w:color w:val="000000" w:themeColor="text1"/>
          <w:sz w:val="24"/>
          <w:szCs w:val="24"/>
          <w:lang w:eastAsia="ja-JP"/>
        </w:rPr>
        <w:t>AKFTA</w:t>
      </w:r>
      <w:r w:rsidR="00BF7012" w:rsidRPr="004F4090">
        <w:rPr>
          <w:rFonts w:ascii="Arial" w:hAnsi="Arial" w:cs="Arial"/>
          <w:color w:val="000000" w:themeColor="text1"/>
          <w:sz w:val="24"/>
          <w:szCs w:val="24"/>
          <w:lang w:eastAsia="ja-JP"/>
        </w:rPr>
        <w:t xml:space="preserve"> Agreement and the Annex on Economic Cooperation of the </w:t>
      </w:r>
      <w:r w:rsidRPr="004F4090">
        <w:rPr>
          <w:rFonts w:ascii="Arial" w:hAnsi="Arial" w:cs="Arial"/>
          <w:color w:val="000000" w:themeColor="text1"/>
          <w:sz w:val="24"/>
          <w:szCs w:val="24"/>
        </w:rPr>
        <w:t>Agreement, ASEAN</w:t>
      </w:r>
      <w:r w:rsidR="001723E4" w:rsidRPr="004F4090">
        <w:rPr>
          <w:rFonts w:ascii="Arial" w:hAnsi="Arial" w:cs="Arial"/>
          <w:color w:val="000000" w:themeColor="text1"/>
          <w:sz w:val="24"/>
          <w:szCs w:val="24"/>
        </w:rPr>
        <w:t xml:space="preserve"> Member States (AMS)</w:t>
      </w:r>
      <w:r w:rsidRPr="004F4090">
        <w:rPr>
          <w:rFonts w:ascii="Arial" w:hAnsi="Arial" w:cs="Arial"/>
          <w:color w:val="000000" w:themeColor="text1"/>
          <w:sz w:val="24"/>
          <w:szCs w:val="24"/>
        </w:rPr>
        <w:t xml:space="preserve"> and </w:t>
      </w:r>
      <w:r w:rsidR="00F27EDE" w:rsidRPr="004F4090">
        <w:rPr>
          <w:rFonts w:ascii="Arial" w:hAnsi="Arial" w:cs="Arial"/>
          <w:color w:val="000000" w:themeColor="text1"/>
          <w:sz w:val="24"/>
          <w:szCs w:val="24"/>
        </w:rPr>
        <w:t>t</w:t>
      </w:r>
      <w:r w:rsidR="00852423" w:rsidRPr="004F4090">
        <w:rPr>
          <w:rFonts w:ascii="Arial" w:hAnsi="Arial" w:cs="Arial"/>
          <w:color w:val="000000" w:themeColor="text1"/>
          <w:sz w:val="24"/>
          <w:szCs w:val="24"/>
        </w:rPr>
        <w:t xml:space="preserve">he Republic of </w:t>
      </w:r>
      <w:r w:rsidRPr="004F4090">
        <w:rPr>
          <w:rFonts w:ascii="Arial" w:hAnsi="Arial" w:cs="Arial"/>
          <w:color w:val="000000" w:themeColor="text1"/>
          <w:sz w:val="24"/>
          <w:szCs w:val="24"/>
        </w:rPr>
        <w:t>Korea agreed to explore and undertake economic cooperation projec</w:t>
      </w:r>
      <w:r w:rsidR="00F9493A" w:rsidRPr="004F4090">
        <w:rPr>
          <w:rFonts w:ascii="Arial" w:hAnsi="Arial" w:cs="Arial"/>
          <w:color w:val="000000" w:themeColor="text1"/>
          <w:sz w:val="24"/>
          <w:szCs w:val="24"/>
        </w:rPr>
        <w:t xml:space="preserve">ts </w:t>
      </w:r>
      <w:r w:rsidR="004A3AF2" w:rsidRPr="004F4090">
        <w:rPr>
          <w:rFonts w:ascii="Arial" w:hAnsi="Arial" w:cs="Arial"/>
          <w:color w:val="000000" w:themeColor="text1"/>
          <w:sz w:val="24"/>
          <w:szCs w:val="24"/>
        </w:rPr>
        <w:t xml:space="preserve">(hereafter referred </w:t>
      </w:r>
      <w:r w:rsidR="001723E4" w:rsidRPr="004F4090">
        <w:rPr>
          <w:rFonts w:ascii="Arial" w:hAnsi="Arial" w:cs="Arial"/>
          <w:color w:val="000000" w:themeColor="text1"/>
          <w:sz w:val="24"/>
          <w:szCs w:val="24"/>
        </w:rPr>
        <w:t xml:space="preserve">to </w:t>
      </w:r>
      <w:r w:rsidR="004A3AF2" w:rsidRPr="004F4090">
        <w:rPr>
          <w:rFonts w:ascii="Arial" w:hAnsi="Arial" w:cs="Arial"/>
          <w:color w:val="000000" w:themeColor="text1"/>
          <w:sz w:val="24"/>
          <w:szCs w:val="24"/>
        </w:rPr>
        <w:t xml:space="preserve">as </w:t>
      </w:r>
      <w:r w:rsidR="001723E4" w:rsidRPr="004F4090">
        <w:rPr>
          <w:rFonts w:ascii="Arial" w:hAnsi="Arial" w:cs="Arial"/>
          <w:color w:val="000000" w:themeColor="text1"/>
          <w:sz w:val="24"/>
          <w:szCs w:val="24"/>
        </w:rPr>
        <w:t>“</w:t>
      </w:r>
      <w:r w:rsidR="004A3AF2" w:rsidRPr="004F4090">
        <w:rPr>
          <w:rFonts w:ascii="Arial" w:hAnsi="Arial" w:cs="Arial"/>
          <w:color w:val="000000" w:themeColor="text1"/>
          <w:sz w:val="24"/>
          <w:szCs w:val="24"/>
        </w:rPr>
        <w:t xml:space="preserve">AKFTA </w:t>
      </w:r>
      <w:r w:rsidR="004731AB" w:rsidRPr="004F4090">
        <w:rPr>
          <w:rFonts w:ascii="Arial" w:hAnsi="Arial" w:cs="Arial"/>
          <w:color w:val="000000" w:themeColor="text1"/>
          <w:sz w:val="24"/>
          <w:szCs w:val="24"/>
        </w:rPr>
        <w:t>P</w:t>
      </w:r>
      <w:r w:rsidR="004A3AF2" w:rsidRPr="004F4090">
        <w:rPr>
          <w:rFonts w:ascii="Arial" w:hAnsi="Arial" w:cs="Arial"/>
          <w:color w:val="000000" w:themeColor="text1"/>
          <w:sz w:val="24"/>
          <w:szCs w:val="24"/>
        </w:rPr>
        <w:t>rojects</w:t>
      </w:r>
      <w:r w:rsidR="001723E4" w:rsidRPr="004F4090">
        <w:rPr>
          <w:rFonts w:ascii="Arial" w:hAnsi="Arial" w:cs="Arial"/>
          <w:color w:val="000000" w:themeColor="text1"/>
          <w:sz w:val="24"/>
          <w:szCs w:val="24"/>
        </w:rPr>
        <w:t>”</w:t>
      </w:r>
      <w:r w:rsidR="004A3AF2" w:rsidRPr="004F4090">
        <w:rPr>
          <w:rFonts w:ascii="Arial" w:hAnsi="Arial" w:cs="Arial"/>
          <w:color w:val="000000" w:themeColor="text1"/>
          <w:sz w:val="24"/>
          <w:szCs w:val="24"/>
        </w:rPr>
        <w:t xml:space="preserve">) </w:t>
      </w:r>
      <w:r w:rsidR="00F9493A" w:rsidRPr="004F4090">
        <w:rPr>
          <w:rFonts w:ascii="Arial" w:hAnsi="Arial" w:cs="Arial"/>
          <w:color w:val="000000" w:themeColor="text1"/>
          <w:sz w:val="24"/>
          <w:szCs w:val="24"/>
        </w:rPr>
        <w:t xml:space="preserve">in areas of mutual interests. </w:t>
      </w:r>
    </w:p>
    <w:p w14:paraId="2E55A251" w14:textId="77777777" w:rsidR="00F9493A" w:rsidRPr="004F4090" w:rsidRDefault="00E66763" w:rsidP="00C63DEE">
      <w:pPr>
        <w:pStyle w:val="ListParagraph"/>
        <w:tabs>
          <w:tab w:val="left" w:pos="6705"/>
        </w:tabs>
        <w:spacing w:after="0" w:line="240" w:lineRule="auto"/>
        <w:ind w:left="0"/>
        <w:jc w:val="both"/>
        <w:rPr>
          <w:rFonts w:ascii="Arial" w:hAnsi="Arial" w:cs="Arial"/>
          <w:color w:val="000000" w:themeColor="text1"/>
          <w:sz w:val="24"/>
          <w:szCs w:val="24"/>
        </w:rPr>
      </w:pPr>
      <w:r w:rsidRPr="004F4090">
        <w:rPr>
          <w:rFonts w:ascii="Arial" w:hAnsi="Arial" w:cs="Arial"/>
          <w:color w:val="000000" w:themeColor="text1"/>
          <w:sz w:val="24"/>
          <w:szCs w:val="24"/>
        </w:rPr>
        <w:tab/>
      </w:r>
    </w:p>
    <w:p w14:paraId="2640D505" w14:textId="6E1FDA52" w:rsidR="00BC0E7B" w:rsidRDefault="004A3AF2"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Th</w:t>
      </w:r>
      <w:r w:rsidR="00C63DEE" w:rsidRPr="004F4090">
        <w:rPr>
          <w:rFonts w:ascii="Arial" w:hAnsi="Arial" w:cs="Arial"/>
          <w:color w:val="000000" w:themeColor="text1"/>
          <w:sz w:val="24"/>
          <w:szCs w:val="24"/>
        </w:rPr>
        <w:t>ese</w:t>
      </w:r>
      <w:r w:rsidRPr="004F4090">
        <w:rPr>
          <w:rFonts w:ascii="Arial" w:hAnsi="Arial" w:cs="Arial"/>
          <w:color w:val="000000" w:themeColor="text1"/>
          <w:sz w:val="24"/>
          <w:szCs w:val="24"/>
        </w:rPr>
        <w:t xml:space="preserve"> </w:t>
      </w:r>
      <w:r w:rsidR="00C63DEE" w:rsidRPr="004F4090">
        <w:rPr>
          <w:rFonts w:ascii="Arial" w:hAnsi="Arial" w:cs="Arial"/>
          <w:color w:val="000000" w:themeColor="text1"/>
          <w:sz w:val="24"/>
          <w:szCs w:val="24"/>
        </w:rPr>
        <w:t xml:space="preserve">Guidelines </w:t>
      </w:r>
      <w:r w:rsidRPr="004F4090">
        <w:rPr>
          <w:rFonts w:ascii="Arial" w:hAnsi="Arial" w:cs="Arial"/>
          <w:color w:val="000000" w:themeColor="text1"/>
          <w:sz w:val="24"/>
          <w:szCs w:val="24"/>
        </w:rPr>
        <w:t xml:space="preserve">aim </w:t>
      </w:r>
      <w:r w:rsidR="00CF1FDC" w:rsidRPr="004F4090">
        <w:rPr>
          <w:rFonts w:ascii="Arial" w:hAnsi="Arial" w:cs="Arial"/>
          <w:color w:val="000000" w:themeColor="text1"/>
          <w:sz w:val="24"/>
          <w:szCs w:val="24"/>
        </w:rPr>
        <w:t>to</w:t>
      </w:r>
      <w:r w:rsidR="00EC6DE7" w:rsidRPr="004F4090">
        <w:rPr>
          <w:rFonts w:ascii="Arial" w:hAnsi="Arial" w:cs="Arial"/>
          <w:color w:val="000000" w:themeColor="text1"/>
          <w:sz w:val="24"/>
          <w:szCs w:val="24"/>
        </w:rPr>
        <w:t xml:space="preserve"> </w:t>
      </w:r>
      <w:r w:rsidRPr="004F4090">
        <w:rPr>
          <w:rFonts w:ascii="Arial" w:hAnsi="Arial" w:cs="Arial"/>
          <w:color w:val="000000" w:themeColor="text1"/>
          <w:sz w:val="24"/>
          <w:szCs w:val="24"/>
        </w:rPr>
        <w:t>facilitate the development, appraisal</w:t>
      </w:r>
      <w:r w:rsidR="008516BC" w:rsidRPr="004F4090">
        <w:rPr>
          <w:rFonts w:ascii="Arial" w:hAnsi="Arial" w:cs="Arial"/>
          <w:color w:val="000000" w:themeColor="text1"/>
          <w:sz w:val="24"/>
          <w:szCs w:val="24"/>
        </w:rPr>
        <w:t xml:space="preserve">, </w:t>
      </w:r>
      <w:r w:rsidR="004B5345" w:rsidRPr="004F4090">
        <w:rPr>
          <w:rFonts w:ascii="Arial" w:hAnsi="Arial" w:cs="Arial"/>
          <w:color w:val="000000" w:themeColor="text1"/>
          <w:sz w:val="24"/>
          <w:szCs w:val="24"/>
        </w:rPr>
        <w:t xml:space="preserve">selection or </w:t>
      </w:r>
      <w:r w:rsidR="008516BC" w:rsidRPr="004F4090">
        <w:rPr>
          <w:rFonts w:ascii="Arial" w:hAnsi="Arial" w:cs="Arial"/>
          <w:color w:val="000000" w:themeColor="text1"/>
          <w:sz w:val="24"/>
          <w:szCs w:val="24"/>
        </w:rPr>
        <w:t>approval,</w:t>
      </w:r>
      <w:r w:rsidRPr="004F4090">
        <w:rPr>
          <w:rFonts w:ascii="Arial" w:hAnsi="Arial" w:cs="Arial"/>
          <w:color w:val="000000" w:themeColor="text1"/>
          <w:sz w:val="24"/>
          <w:szCs w:val="24"/>
        </w:rPr>
        <w:t xml:space="preserve"> and implementation of the AKFTA </w:t>
      </w:r>
      <w:r w:rsidR="001723E4" w:rsidRPr="004F4090">
        <w:rPr>
          <w:rFonts w:ascii="Arial" w:hAnsi="Arial" w:cs="Arial"/>
          <w:color w:val="000000" w:themeColor="text1"/>
          <w:sz w:val="24"/>
          <w:szCs w:val="24"/>
        </w:rPr>
        <w:t>P</w:t>
      </w:r>
      <w:r w:rsidRPr="004F4090">
        <w:rPr>
          <w:rFonts w:ascii="Arial" w:hAnsi="Arial" w:cs="Arial"/>
          <w:color w:val="000000" w:themeColor="text1"/>
          <w:sz w:val="24"/>
          <w:szCs w:val="24"/>
        </w:rPr>
        <w:t xml:space="preserve">rojects, with the funding support from the ASEAN-Korea </w:t>
      </w:r>
      <w:r w:rsidR="00EC6DE7" w:rsidRPr="004F4090">
        <w:rPr>
          <w:rFonts w:ascii="Arial" w:hAnsi="Arial" w:cs="Arial"/>
          <w:color w:val="000000" w:themeColor="text1"/>
          <w:sz w:val="24"/>
          <w:szCs w:val="24"/>
        </w:rPr>
        <w:t xml:space="preserve">Economic </w:t>
      </w:r>
      <w:r w:rsidRPr="004F4090">
        <w:rPr>
          <w:rFonts w:ascii="Arial" w:hAnsi="Arial" w:cs="Arial"/>
          <w:color w:val="000000" w:themeColor="text1"/>
          <w:sz w:val="24"/>
          <w:szCs w:val="24"/>
        </w:rPr>
        <w:t xml:space="preserve">Cooperation (AKEC) Fund. </w:t>
      </w:r>
    </w:p>
    <w:p w14:paraId="0CD4BF8C" w14:textId="77777777" w:rsidR="004F4090" w:rsidRPr="004F4090" w:rsidRDefault="004F4090" w:rsidP="004F4090">
      <w:pPr>
        <w:pStyle w:val="ListParagraph"/>
        <w:rPr>
          <w:rFonts w:ascii="Arial" w:hAnsi="Arial" w:cs="Arial"/>
          <w:color w:val="000000" w:themeColor="text1"/>
          <w:sz w:val="24"/>
          <w:szCs w:val="24"/>
        </w:rPr>
      </w:pPr>
    </w:p>
    <w:p w14:paraId="0CFF044D" w14:textId="25A9D2EE" w:rsidR="000805E3" w:rsidRPr="004F4090" w:rsidRDefault="000805E3" w:rsidP="00C63DEE">
      <w:pPr>
        <w:spacing w:after="0" w:line="240" w:lineRule="auto"/>
        <w:jc w:val="both"/>
        <w:rPr>
          <w:rFonts w:ascii="Arial" w:hAnsi="Arial" w:cs="Arial"/>
          <w:color w:val="000000" w:themeColor="text1"/>
          <w:sz w:val="24"/>
          <w:szCs w:val="24"/>
        </w:rPr>
      </w:pPr>
    </w:p>
    <w:p w14:paraId="145E7122" w14:textId="2E3E705F" w:rsidR="00FE3B1A" w:rsidRPr="004F4090" w:rsidRDefault="00FE3B1A" w:rsidP="00C63DEE">
      <w:pPr>
        <w:spacing w:after="0" w:line="240" w:lineRule="auto"/>
        <w:jc w:val="both"/>
        <w:rPr>
          <w:rFonts w:ascii="Arial" w:hAnsi="Arial"/>
          <w:b/>
          <w:color w:val="000000" w:themeColor="text1"/>
          <w:sz w:val="24"/>
        </w:rPr>
      </w:pPr>
      <w:r w:rsidRPr="004F4090">
        <w:rPr>
          <w:rFonts w:ascii="Arial" w:hAnsi="Arial"/>
          <w:b/>
          <w:color w:val="000000" w:themeColor="text1"/>
          <w:sz w:val="24"/>
        </w:rPr>
        <w:t xml:space="preserve">I. Eligibility </w:t>
      </w:r>
    </w:p>
    <w:p w14:paraId="0626ED5D" w14:textId="77777777" w:rsidR="00FE3B1A" w:rsidRPr="004F4090" w:rsidRDefault="00FE3B1A" w:rsidP="00C63DEE">
      <w:pPr>
        <w:spacing w:after="0" w:line="240" w:lineRule="auto"/>
        <w:jc w:val="both"/>
        <w:rPr>
          <w:rFonts w:ascii="Arial" w:hAnsi="Arial"/>
          <w:b/>
          <w:color w:val="000000" w:themeColor="text1"/>
          <w:sz w:val="24"/>
        </w:rPr>
      </w:pPr>
    </w:p>
    <w:p w14:paraId="1E6CAB41" w14:textId="77777777" w:rsidR="00FE3B1A" w:rsidRPr="004F4090" w:rsidRDefault="00FE3B1A" w:rsidP="00C63DEE">
      <w:pPr>
        <w:spacing w:after="0" w:line="240" w:lineRule="auto"/>
        <w:rPr>
          <w:rFonts w:ascii="Arial" w:hAnsi="Arial"/>
          <w:b/>
          <w:color w:val="000000" w:themeColor="text1"/>
          <w:sz w:val="24"/>
          <w:u w:val="single"/>
        </w:rPr>
      </w:pPr>
      <w:r w:rsidRPr="004F4090">
        <w:rPr>
          <w:rFonts w:ascii="Arial" w:hAnsi="Arial"/>
          <w:b/>
          <w:color w:val="000000" w:themeColor="text1"/>
          <w:sz w:val="24"/>
          <w:u w:val="single"/>
        </w:rPr>
        <w:t>Eligibility of Proponents and Implementing Agencies (IA)</w:t>
      </w:r>
    </w:p>
    <w:p w14:paraId="0EA0D9F4" w14:textId="77777777" w:rsidR="00C63DEE" w:rsidRPr="004F4090" w:rsidRDefault="00C63DEE" w:rsidP="00C63DEE">
      <w:pPr>
        <w:spacing w:after="0" w:line="240" w:lineRule="auto"/>
        <w:rPr>
          <w:rFonts w:ascii="Arial" w:hAnsi="Arial"/>
          <w:b/>
          <w:color w:val="000000" w:themeColor="text1"/>
          <w:sz w:val="24"/>
          <w:u w:val="single"/>
        </w:rPr>
      </w:pPr>
    </w:p>
    <w:p w14:paraId="49F2A55E" w14:textId="5E9735E3" w:rsidR="00FE3B1A" w:rsidRPr="004F4090" w:rsidRDefault="00FE3B1A" w:rsidP="00C63DEE">
      <w:pPr>
        <w:pStyle w:val="ListParagraph"/>
        <w:numPr>
          <w:ilvl w:val="0"/>
          <w:numId w:val="7"/>
        </w:numPr>
        <w:tabs>
          <w:tab w:val="left" w:pos="567"/>
        </w:tabs>
        <w:spacing w:after="0" w:line="240" w:lineRule="auto"/>
        <w:ind w:left="0" w:firstLine="0"/>
        <w:jc w:val="both"/>
        <w:rPr>
          <w:rFonts w:ascii="Arial" w:hAnsi="Arial"/>
          <w:color w:val="000000" w:themeColor="text1"/>
          <w:sz w:val="24"/>
        </w:rPr>
      </w:pPr>
      <w:r w:rsidRPr="004F4090">
        <w:rPr>
          <w:rFonts w:ascii="Arial" w:hAnsi="Arial"/>
          <w:color w:val="000000" w:themeColor="text1"/>
          <w:sz w:val="24"/>
        </w:rPr>
        <w:t xml:space="preserve">Proponent is Project formulator/designer. Implementing Agency (IA) is the party that receives funding through the </w:t>
      </w:r>
      <w:r w:rsidR="00424BE7" w:rsidRPr="004F4090">
        <w:rPr>
          <w:rFonts w:ascii="Arial" w:hAnsi="Arial"/>
          <w:color w:val="000000" w:themeColor="text1"/>
          <w:sz w:val="24"/>
        </w:rPr>
        <w:t>ASEAN Secretariat (</w:t>
      </w:r>
      <w:r w:rsidRPr="004F4090">
        <w:rPr>
          <w:rFonts w:ascii="Arial" w:hAnsi="Arial"/>
          <w:color w:val="000000" w:themeColor="text1"/>
          <w:sz w:val="24"/>
        </w:rPr>
        <w:t>ASEC</w:t>
      </w:r>
      <w:r w:rsidR="00424BE7" w:rsidRPr="004F4090">
        <w:rPr>
          <w:rFonts w:ascii="Arial" w:hAnsi="Arial"/>
          <w:color w:val="000000" w:themeColor="text1"/>
          <w:sz w:val="24"/>
        </w:rPr>
        <w:t>)</w:t>
      </w:r>
      <w:r w:rsidRPr="004F4090">
        <w:rPr>
          <w:rFonts w:ascii="Arial" w:hAnsi="Arial"/>
          <w:color w:val="000000" w:themeColor="text1"/>
          <w:sz w:val="24"/>
        </w:rPr>
        <w:t xml:space="preserve"> and </w:t>
      </w:r>
      <w:proofErr w:type="spellStart"/>
      <w:r w:rsidRPr="004F4090">
        <w:rPr>
          <w:rFonts w:ascii="Arial" w:hAnsi="Arial"/>
          <w:color w:val="000000" w:themeColor="text1"/>
          <w:sz w:val="24"/>
        </w:rPr>
        <w:t>utili</w:t>
      </w:r>
      <w:r w:rsidR="001723E4" w:rsidRPr="004F4090">
        <w:rPr>
          <w:rFonts w:ascii="Arial" w:hAnsi="Arial"/>
          <w:color w:val="000000" w:themeColor="text1"/>
          <w:sz w:val="24"/>
        </w:rPr>
        <w:t>s</w:t>
      </w:r>
      <w:r w:rsidRPr="004F4090">
        <w:rPr>
          <w:rFonts w:ascii="Arial" w:hAnsi="Arial"/>
          <w:color w:val="000000" w:themeColor="text1"/>
          <w:sz w:val="24"/>
        </w:rPr>
        <w:t>es</w:t>
      </w:r>
      <w:proofErr w:type="spellEnd"/>
      <w:r w:rsidRPr="004F4090">
        <w:rPr>
          <w:rFonts w:ascii="Arial" w:hAnsi="Arial"/>
          <w:color w:val="000000" w:themeColor="text1"/>
          <w:sz w:val="24"/>
        </w:rPr>
        <w:t xml:space="preserve"> it to implement </w:t>
      </w:r>
      <w:r w:rsidR="001723E4" w:rsidRPr="004F4090">
        <w:rPr>
          <w:rFonts w:ascii="Arial" w:hAnsi="Arial"/>
          <w:color w:val="000000" w:themeColor="text1"/>
          <w:sz w:val="24"/>
        </w:rPr>
        <w:t>AKFTA P</w:t>
      </w:r>
      <w:r w:rsidRPr="004F4090">
        <w:rPr>
          <w:rFonts w:ascii="Arial" w:hAnsi="Arial"/>
          <w:color w:val="000000" w:themeColor="text1"/>
          <w:sz w:val="24"/>
        </w:rPr>
        <w:t xml:space="preserve">rojects. The IA may be the Proponent, or other agency or entity. To be eligible to obtain the funding from AKEC Fund, Proponents and IA should be from Ministries, Government-affiliated Organizations, Business Associations, Non-profit Organizations and Universities in ASEAN and ROK, ASEAN sectoral bodies and the </w:t>
      </w:r>
      <w:r w:rsidR="001723E4" w:rsidRPr="004F4090">
        <w:rPr>
          <w:rFonts w:ascii="Arial" w:hAnsi="Arial"/>
          <w:color w:val="000000" w:themeColor="text1"/>
          <w:sz w:val="24"/>
        </w:rPr>
        <w:t>ASEC</w:t>
      </w:r>
      <w:r w:rsidRPr="004F4090">
        <w:rPr>
          <w:rFonts w:ascii="Arial" w:hAnsi="Arial"/>
          <w:color w:val="000000" w:themeColor="text1"/>
          <w:sz w:val="24"/>
        </w:rPr>
        <w:t xml:space="preserve">. </w:t>
      </w:r>
    </w:p>
    <w:p w14:paraId="7CBEEF4C" w14:textId="77777777" w:rsidR="00FE3B1A" w:rsidRPr="004F4090" w:rsidRDefault="00FE3B1A" w:rsidP="00C63DEE">
      <w:pPr>
        <w:pStyle w:val="ListParagraph"/>
        <w:tabs>
          <w:tab w:val="left" w:pos="567"/>
        </w:tabs>
        <w:spacing w:after="0" w:line="240" w:lineRule="auto"/>
        <w:ind w:left="0"/>
        <w:jc w:val="both"/>
        <w:rPr>
          <w:rFonts w:ascii="Arial" w:hAnsi="Arial"/>
          <w:color w:val="000000" w:themeColor="text1"/>
          <w:sz w:val="24"/>
        </w:rPr>
      </w:pPr>
    </w:p>
    <w:p w14:paraId="43EF22E1" w14:textId="69FB3FF8" w:rsidR="00FE3B1A" w:rsidRPr="004F4090" w:rsidRDefault="00FE3B1A" w:rsidP="00C63DEE">
      <w:pPr>
        <w:pStyle w:val="ListParagraph"/>
        <w:numPr>
          <w:ilvl w:val="0"/>
          <w:numId w:val="7"/>
        </w:numPr>
        <w:tabs>
          <w:tab w:val="left" w:pos="567"/>
        </w:tabs>
        <w:spacing w:after="0" w:line="240" w:lineRule="auto"/>
        <w:ind w:left="0" w:firstLine="0"/>
        <w:jc w:val="both"/>
        <w:rPr>
          <w:rFonts w:ascii="Arial" w:hAnsi="Arial"/>
          <w:color w:val="000000" w:themeColor="text1"/>
          <w:sz w:val="24"/>
        </w:rPr>
      </w:pPr>
      <w:r w:rsidRPr="004F4090">
        <w:rPr>
          <w:rFonts w:ascii="Arial" w:hAnsi="Arial"/>
          <w:color w:val="000000" w:themeColor="text1"/>
          <w:sz w:val="24"/>
        </w:rPr>
        <w:t xml:space="preserve">Individuals or Profit-making </w:t>
      </w:r>
      <w:proofErr w:type="spellStart"/>
      <w:r w:rsidRPr="004F4090">
        <w:rPr>
          <w:rFonts w:ascii="Arial" w:hAnsi="Arial"/>
          <w:color w:val="000000" w:themeColor="text1"/>
          <w:sz w:val="24"/>
        </w:rPr>
        <w:t>Organi</w:t>
      </w:r>
      <w:r w:rsidR="001723E4" w:rsidRPr="004F4090">
        <w:rPr>
          <w:rFonts w:ascii="Arial" w:hAnsi="Arial"/>
          <w:color w:val="000000" w:themeColor="text1"/>
          <w:sz w:val="24"/>
        </w:rPr>
        <w:t>s</w:t>
      </w:r>
      <w:r w:rsidRPr="004F4090">
        <w:rPr>
          <w:rFonts w:ascii="Arial" w:hAnsi="Arial"/>
          <w:color w:val="000000" w:themeColor="text1"/>
          <w:sz w:val="24"/>
        </w:rPr>
        <w:t>ations</w:t>
      </w:r>
      <w:proofErr w:type="spellEnd"/>
      <w:r w:rsidRPr="004F4090">
        <w:rPr>
          <w:rFonts w:ascii="Arial" w:hAnsi="Arial"/>
          <w:color w:val="000000" w:themeColor="text1"/>
          <w:sz w:val="24"/>
        </w:rPr>
        <w:t xml:space="preserve"> are not eligible to be Proponents. Individuals are not eligible to be IA. </w:t>
      </w:r>
    </w:p>
    <w:p w14:paraId="4819FDB6" w14:textId="77777777" w:rsidR="00FE3B1A" w:rsidRPr="004F4090" w:rsidRDefault="00FE3B1A" w:rsidP="00C63DEE">
      <w:pPr>
        <w:pStyle w:val="ListParagraph"/>
        <w:spacing w:after="0" w:line="240" w:lineRule="auto"/>
        <w:ind w:left="0"/>
        <w:jc w:val="both"/>
        <w:rPr>
          <w:rFonts w:ascii="Arial" w:hAnsi="Arial"/>
          <w:color w:val="000000" w:themeColor="text1"/>
          <w:sz w:val="24"/>
        </w:rPr>
      </w:pPr>
    </w:p>
    <w:p w14:paraId="2826FF24" w14:textId="77777777" w:rsidR="00FE3B1A" w:rsidRPr="004F4090" w:rsidRDefault="00FE3B1A" w:rsidP="00C63DEE">
      <w:pPr>
        <w:spacing w:after="0" w:line="240" w:lineRule="auto"/>
        <w:rPr>
          <w:rFonts w:ascii="Arial" w:hAnsi="Arial"/>
          <w:b/>
          <w:color w:val="000000" w:themeColor="text1"/>
          <w:sz w:val="24"/>
          <w:u w:val="single"/>
        </w:rPr>
      </w:pPr>
      <w:r w:rsidRPr="004F4090">
        <w:rPr>
          <w:rFonts w:ascii="Arial" w:hAnsi="Arial"/>
          <w:b/>
          <w:color w:val="000000" w:themeColor="text1"/>
          <w:sz w:val="24"/>
          <w:u w:val="single"/>
        </w:rPr>
        <w:t>Eligibility of Project</w:t>
      </w:r>
    </w:p>
    <w:p w14:paraId="4BD61931" w14:textId="77777777" w:rsidR="00C63DEE" w:rsidRPr="004F4090" w:rsidRDefault="00C63DEE" w:rsidP="00C63DEE">
      <w:pPr>
        <w:spacing w:after="0" w:line="240" w:lineRule="auto"/>
        <w:rPr>
          <w:rFonts w:ascii="Arial" w:hAnsi="Arial"/>
          <w:b/>
          <w:color w:val="000000" w:themeColor="text1"/>
          <w:sz w:val="24"/>
          <w:u w:val="single"/>
        </w:rPr>
      </w:pPr>
    </w:p>
    <w:p w14:paraId="37DA4690" w14:textId="77777777" w:rsidR="00FE3B1A" w:rsidRPr="004F4090" w:rsidRDefault="00FE3B1A" w:rsidP="00C63DEE">
      <w:pPr>
        <w:pStyle w:val="ListParagraph"/>
        <w:numPr>
          <w:ilvl w:val="0"/>
          <w:numId w:val="7"/>
        </w:numPr>
        <w:tabs>
          <w:tab w:val="left" w:pos="567"/>
        </w:tabs>
        <w:spacing w:after="0" w:line="240" w:lineRule="auto"/>
        <w:ind w:left="0" w:firstLine="0"/>
        <w:jc w:val="both"/>
        <w:rPr>
          <w:rFonts w:ascii="Arial" w:hAnsi="Arial"/>
          <w:color w:val="000000" w:themeColor="text1"/>
          <w:sz w:val="24"/>
        </w:rPr>
      </w:pPr>
      <w:r w:rsidRPr="004F4090">
        <w:rPr>
          <w:rFonts w:ascii="Arial" w:hAnsi="Arial"/>
          <w:color w:val="000000" w:themeColor="text1"/>
          <w:sz w:val="24"/>
        </w:rPr>
        <w:t>A project eligible for application should meet the following qualifications:</w:t>
      </w:r>
    </w:p>
    <w:p w14:paraId="499EFC61" w14:textId="77777777" w:rsidR="00FE3B1A" w:rsidRPr="004F4090" w:rsidRDefault="00FE3B1A" w:rsidP="00C63DEE">
      <w:pPr>
        <w:pStyle w:val="ListParagraph"/>
        <w:spacing w:after="0" w:line="240" w:lineRule="auto"/>
        <w:ind w:left="0"/>
        <w:jc w:val="both"/>
        <w:rPr>
          <w:rFonts w:ascii="Arial" w:hAnsi="Arial"/>
          <w:color w:val="000000" w:themeColor="text1"/>
          <w:sz w:val="24"/>
        </w:rPr>
      </w:pPr>
    </w:p>
    <w:p w14:paraId="7344EF13" w14:textId="3DD75B1B"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The scope of the proposed project must fall under at least one of the 19 areas</w:t>
      </w:r>
      <w:r w:rsidRPr="004F4090">
        <w:rPr>
          <w:rStyle w:val="FootnoteReference"/>
          <w:rFonts w:ascii="Arial" w:hAnsi="Arial"/>
          <w:color w:val="000000" w:themeColor="text1"/>
          <w:sz w:val="24"/>
        </w:rPr>
        <w:footnoteReference w:id="2"/>
      </w:r>
      <w:r w:rsidRPr="004F4090">
        <w:rPr>
          <w:rFonts w:ascii="Arial" w:hAnsi="Arial"/>
          <w:color w:val="000000" w:themeColor="text1"/>
          <w:sz w:val="24"/>
        </w:rPr>
        <w:t xml:space="preserve"> listed in Chapter 3 of the </w:t>
      </w:r>
      <w:r w:rsidR="001723E4" w:rsidRPr="004F4090">
        <w:rPr>
          <w:rFonts w:ascii="Arial" w:hAnsi="Arial"/>
          <w:color w:val="000000" w:themeColor="text1"/>
          <w:sz w:val="24"/>
        </w:rPr>
        <w:t xml:space="preserve">AKFTA </w:t>
      </w:r>
      <w:r w:rsidRPr="004F4090">
        <w:rPr>
          <w:rFonts w:ascii="Arial" w:hAnsi="Arial"/>
          <w:color w:val="000000" w:themeColor="text1"/>
          <w:sz w:val="24"/>
        </w:rPr>
        <w:t xml:space="preserve">Agreement and the Annex on </w:t>
      </w:r>
      <w:r w:rsidRPr="004F4090">
        <w:rPr>
          <w:rFonts w:ascii="Arial" w:hAnsi="Arial"/>
          <w:color w:val="000000" w:themeColor="text1"/>
          <w:sz w:val="24"/>
        </w:rPr>
        <w:lastRenderedPageBreak/>
        <w:t>Economic Cooperation, and in line with the areas of priority identified by AKFTA Parties.</w:t>
      </w:r>
    </w:p>
    <w:p w14:paraId="3694A3F0" w14:textId="77777777" w:rsidR="00FE3B1A" w:rsidRPr="004F4090" w:rsidRDefault="00FE3B1A" w:rsidP="00C63DEE">
      <w:pPr>
        <w:pStyle w:val="ListParagraph"/>
        <w:spacing w:after="0" w:line="240" w:lineRule="auto"/>
        <w:ind w:left="1170" w:hanging="603"/>
        <w:jc w:val="both"/>
        <w:rPr>
          <w:rFonts w:ascii="Arial" w:hAnsi="Arial"/>
          <w:color w:val="000000" w:themeColor="text1"/>
          <w:sz w:val="24"/>
        </w:rPr>
      </w:pPr>
    </w:p>
    <w:p w14:paraId="7F620793" w14:textId="69702A8E"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 xml:space="preserve">The Project must be regional in nature and of benefit to AMS and </w:t>
      </w:r>
      <w:r w:rsidR="00F2779A" w:rsidRPr="004F4090">
        <w:rPr>
          <w:rFonts w:ascii="Arial" w:hAnsi="Arial" w:cs="Arial"/>
          <w:color w:val="000000" w:themeColor="text1"/>
          <w:sz w:val="24"/>
          <w:szCs w:val="24"/>
        </w:rPr>
        <w:t xml:space="preserve">the </w:t>
      </w:r>
      <w:r w:rsidR="001723E4" w:rsidRPr="004F4090">
        <w:rPr>
          <w:rFonts w:ascii="Arial" w:hAnsi="Arial" w:cs="Arial"/>
          <w:color w:val="000000" w:themeColor="text1"/>
          <w:sz w:val="24"/>
          <w:szCs w:val="24"/>
        </w:rPr>
        <w:t>ROK</w:t>
      </w:r>
      <w:r w:rsidRPr="004F4090">
        <w:rPr>
          <w:rFonts w:ascii="Arial" w:hAnsi="Arial"/>
          <w:color w:val="000000" w:themeColor="text1"/>
          <w:sz w:val="24"/>
        </w:rPr>
        <w:t xml:space="preserve">, and must not be bilateral in nature. </w:t>
      </w:r>
    </w:p>
    <w:p w14:paraId="6EC986FD" w14:textId="77777777" w:rsidR="00FE3B1A" w:rsidRPr="004F4090" w:rsidRDefault="00FE3B1A" w:rsidP="00C63DEE">
      <w:pPr>
        <w:pStyle w:val="ListParagraph"/>
        <w:spacing w:after="0" w:line="240" w:lineRule="auto"/>
        <w:ind w:left="1170" w:hanging="603"/>
        <w:jc w:val="both"/>
        <w:rPr>
          <w:rFonts w:ascii="Arial" w:hAnsi="Arial"/>
          <w:color w:val="000000" w:themeColor="text1"/>
          <w:sz w:val="24"/>
        </w:rPr>
      </w:pPr>
    </w:p>
    <w:p w14:paraId="444C8A07" w14:textId="78B7F905"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 xml:space="preserve">The project should involve, at the minimum, the participation of any two (2) AMS and </w:t>
      </w:r>
      <w:r w:rsidR="00F2779A" w:rsidRPr="004F4090">
        <w:rPr>
          <w:rFonts w:ascii="Arial" w:hAnsi="Arial" w:cs="Arial"/>
          <w:color w:val="000000" w:themeColor="text1"/>
          <w:sz w:val="24"/>
          <w:szCs w:val="24"/>
        </w:rPr>
        <w:t xml:space="preserve">the </w:t>
      </w:r>
      <w:r w:rsidR="001723E4" w:rsidRPr="004F4090">
        <w:rPr>
          <w:rFonts w:ascii="Arial" w:hAnsi="Arial" w:cs="Arial"/>
          <w:color w:val="000000" w:themeColor="text1"/>
          <w:sz w:val="24"/>
          <w:szCs w:val="24"/>
        </w:rPr>
        <w:t>ROK</w:t>
      </w:r>
      <w:r w:rsidRPr="004F4090">
        <w:rPr>
          <w:rFonts w:ascii="Arial" w:hAnsi="Arial"/>
          <w:color w:val="000000" w:themeColor="text1"/>
          <w:sz w:val="24"/>
        </w:rPr>
        <w:t xml:space="preserve">, and must be implemented with the participation of as many Parties as possible.  </w:t>
      </w:r>
    </w:p>
    <w:p w14:paraId="4757FA98" w14:textId="77777777" w:rsidR="00FE3B1A" w:rsidRPr="004F4090" w:rsidRDefault="00FE3B1A" w:rsidP="00C63DEE">
      <w:pPr>
        <w:pStyle w:val="ListParagraph"/>
        <w:spacing w:after="0" w:line="240" w:lineRule="auto"/>
        <w:ind w:left="1170" w:hanging="603"/>
        <w:jc w:val="both"/>
        <w:rPr>
          <w:rFonts w:ascii="Arial" w:hAnsi="Arial"/>
          <w:color w:val="000000" w:themeColor="text1"/>
          <w:sz w:val="24"/>
        </w:rPr>
      </w:pPr>
    </w:p>
    <w:p w14:paraId="40A55FF0" w14:textId="35CE2FC9"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 xml:space="preserve">The project should not duplicate other AKEC projects that are ongoing or have been implemented. </w:t>
      </w:r>
    </w:p>
    <w:p w14:paraId="235E5035" w14:textId="77777777" w:rsidR="00FE3B1A" w:rsidRPr="004F4090" w:rsidRDefault="00FE3B1A" w:rsidP="00C63DEE">
      <w:pPr>
        <w:pStyle w:val="ListParagraph"/>
        <w:spacing w:after="0" w:line="240" w:lineRule="auto"/>
        <w:ind w:left="1170" w:hanging="603"/>
        <w:jc w:val="both"/>
        <w:rPr>
          <w:rFonts w:ascii="Arial" w:hAnsi="Arial"/>
          <w:color w:val="000000" w:themeColor="text1"/>
          <w:sz w:val="24"/>
        </w:rPr>
      </w:pPr>
    </w:p>
    <w:p w14:paraId="7437C8CF" w14:textId="44D936F8"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 xml:space="preserve">Overall cost for a project should not exceed US$100,000 for a single-year project and US$ 300,000 for a multi-year project. These are indicative limits and individual projects will be assessed on the basis of need, priorities and the yearly funding availability for </w:t>
      </w:r>
      <w:r w:rsidR="001723E4" w:rsidRPr="004F4090">
        <w:rPr>
          <w:rFonts w:ascii="Arial" w:hAnsi="Arial"/>
          <w:color w:val="000000" w:themeColor="text1"/>
          <w:sz w:val="24"/>
        </w:rPr>
        <w:t>AKFTA P</w:t>
      </w:r>
      <w:r w:rsidRPr="004F4090">
        <w:rPr>
          <w:rFonts w:ascii="Arial" w:hAnsi="Arial"/>
          <w:color w:val="000000" w:themeColor="text1"/>
          <w:sz w:val="24"/>
        </w:rPr>
        <w:t>rojects.</w:t>
      </w:r>
    </w:p>
    <w:p w14:paraId="1B1F98F3" w14:textId="77777777" w:rsidR="00FE3B1A" w:rsidRPr="004F4090" w:rsidRDefault="00FE3B1A" w:rsidP="00C63DEE">
      <w:pPr>
        <w:pStyle w:val="ListParagraph"/>
        <w:spacing w:after="0" w:line="240" w:lineRule="auto"/>
        <w:ind w:left="1170" w:hanging="603"/>
        <w:jc w:val="both"/>
        <w:rPr>
          <w:rFonts w:ascii="Arial" w:hAnsi="Arial"/>
          <w:color w:val="000000" w:themeColor="text1"/>
          <w:sz w:val="24"/>
        </w:rPr>
      </w:pPr>
    </w:p>
    <w:p w14:paraId="263B5D66" w14:textId="5C1E8F33"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 xml:space="preserve">Multi-year projects must not exceed three (3) years. For multi-year projects, the approval for funding will be only for the first year. The approval for funding in subsequent years will be made based on the satisfactory outcomes of the implemented activities. The </w:t>
      </w:r>
      <w:r w:rsidR="001723E4" w:rsidRPr="004F4090">
        <w:rPr>
          <w:rFonts w:ascii="Arial" w:hAnsi="Arial"/>
          <w:color w:val="000000" w:themeColor="text1"/>
          <w:sz w:val="24"/>
        </w:rPr>
        <w:t>P</w:t>
      </w:r>
      <w:r w:rsidRPr="004F4090">
        <w:rPr>
          <w:rFonts w:ascii="Arial" w:hAnsi="Arial"/>
          <w:color w:val="000000" w:themeColor="text1"/>
          <w:sz w:val="24"/>
        </w:rPr>
        <w:t xml:space="preserve">roponent is required to update the </w:t>
      </w:r>
      <w:r w:rsidR="001723E4" w:rsidRPr="004F4090">
        <w:rPr>
          <w:rFonts w:ascii="Arial" w:hAnsi="Arial" w:cs="Arial"/>
          <w:color w:val="000000" w:themeColor="text1"/>
          <w:sz w:val="24"/>
          <w:szCs w:val="24"/>
          <w:lang w:eastAsia="ja-JP"/>
        </w:rPr>
        <w:t>AKFTA Working Group on Economic Cooperation (</w:t>
      </w:r>
      <w:r w:rsidRPr="004F4090">
        <w:rPr>
          <w:rFonts w:ascii="Arial" w:hAnsi="Arial"/>
          <w:color w:val="000000" w:themeColor="text1"/>
          <w:sz w:val="24"/>
        </w:rPr>
        <w:t>AKFTA-WGEC</w:t>
      </w:r>
      <w:r w:rsidR="001723E4" w:rsidRPr="004F4090">
        <w:rPr>
          <w:rFonts w:ascii="Arial" w:hAnsi="Arial"/>
          <w:color w:val="000000" w:themeColor="text1"/>
          <w:sz w:val="24"/>
        </w:rPr>
        <w:t>)</w:t>
      </w:r>
      <w:r w:rsidRPr="004F4090">
        <w:rPr>
          <w:rFonts w:ascii="Arial" w:hAnsi="Arial"/>
          <w:color w:val="000000" w:themeColor="text1"/>
          <w:sz w:val="24"/>
        </w:rPr>
        <w:t xml:space="preserve"> on the project implementation plan and the budget which should be within the approved amount. </w:t>
      </w:r>
    </w:p>
    <w:p w14:paraId="4E7AD198" w14:textId="77777777" w:rsidR="00FE3B1A" w:rsidRPr="004F4090" w:rsidRDefault="00FE3B1A" w:rsidP="00C63DEE">
      <w:pPr>
        <w:pStyle w:val="ListParagraph"/>
        <w:spacing w:after="0" w:line="240" w:lineRule="auto"/>
        <w:ind w:left="1170" w:hanging="603"/>
        <w:jc w:val="both"/>
        <w:rPr>
          <w:rFonts w:ascii="Arial" w:hAnsi="Arial"/>
          <w:color w:val="000000" w:themeColor="text1"/>
          <w:sz w:val="24"/>
        </w:rPr>
      </w:pPr>
    </w:p>
    <w:p w14:paraId="58C78F41" w14:textId="1B687FD5" w:rsidR="00FE3B1A" w:rsidRPr="004F4090" w:rsidRDefault="00FE3B1A" w:rsidP="00C63DEE">
      <w:pPr>
        <w:pStyle w:val="ListParagraph"/>
        <w:numPr>
          <w:ilvl w:val="0"/>
          <w:numId w:val="9"/>
        </w:numPr>
        <w:spacing w:after="0" w:line="240" w:lineRule="auto"/>
        <w:ind w:left="1170" w:hanging="603"/>
        <w:jc w:val="both"/>
        <w:rPr>
          <w:rFonts w:ascii="Arial" w:hAnsi="Arial"/>
          <w:color w:val="000000" w:themeColor="text1"/>
          <w:sz w:val="24"/>
        </w:rPr>
      </w:pPr>
      <w:r w:rsidRPr="004F4090">
        <w:rPr>
          <w:rFonts w:ascii="Arial" w:hAnsi="Arial"/>
          <w:color w:val="000000" w:themeColor="text1"/>
          <w:sz w:val="24"/>
        </w:rPr>
        <w:t xml:space="preserve">Project </w:t>
      </w:r>
      <w:r w:rsidR="001723E4" w:rsidRPr="004F4090">
        <w:rPr>
          <w:rFonts w:ascii="Arial" w:hAnsi="Arial"/>
          <w:color w:val="000000" w:themeColor="text1"/>
          <w:sz w:val="24"/>
        </w:rPr>
        <w:t>P</w:t>
      </w:r>
      <w:r w:rsidRPr="004F4090">
        <w:rPr>
          <w:rFonts w:ascii="Arial" w:hAnsi="Arial"/>
          <w:color w:val="000000" w:themeColor="text1"/>
          <w:sz w:val="24"/>
        </w:rPr>
        <w:t xml:space="preserve">roponents who would like to repeat a project or extend a project into the next phase must submit a new project proposal and supported by satisfactory outcomes of </w:t>
      </w:r>
      <w:r w:rsidR="00834B10" w:rsidRPr="004F4090">
        <w:rPr>
          <w:rFonts w:ascii="Arial" w:hAnsi="Arial" w:cs="Arial"/>
          <w:color w:val="000000" w:themeColor="text1"/>
          <w:sz w:val="24"/>
          <w:szCs w:val="24"/>
          <w:lang w:eastAsia="ja-JP"/>
        </w:rPr>
        <w:t>the</w:t>
      </w:r>
      <w:r w:rsidR="00834B10" w:rsidRPr="004F4090">
        <w:rPr>
          <w:rFonts w:ascii="Arial" w:hAnsi="Arial"/>
          <w:color w:val="000000" w:themeColor="text1"/>
          <w:sz w:val="24"/>
        </w:rPr>
        <w:t xml:space="preserve"> </w:t>
      </w:r>
      <w:r w:rsidRPr="004F4090">
        <w:rPr>
          <w:rFonts w:ascii="Arial" w:hAnsi="Arial"/>
          <w:color w:val="000000" w:themeColor="text1"/>
          <w:sz w:val="24"/>
        </w:rPr>
        <w:t xml:space="preserve">previously-conducted project(s). </w:t>
      </w:r>
    </w:p>
    <w:p w14:paraId="712E32C4" w14:textId="77777777" w:rsidR="00FE3B1A" w:rsidRPr="004F4090" w:rsidRDefault="00FE3B1A" w:rsidP="00C63DEE">
      <w:pPr>
        <w:spacing w:after="0" w:line="240" w:lineRule="auto"/>
        <w:jc w:val="both"/>
        <w:rPr>
          <w:rFonts w:ascii="Arial" w:hAnsi="Arial" w:cs="Arial"/>
          <w:color w:val="000000" w:themeColor="text1"/>
          <w:sz w:val="24"/>
          <w:szCs w:val="24"/>
        </w:rPr>
      </w:pPr>
    </w:p>
    <w:p w14:paraId="03EF3D28" w14:textId="6F914570" w:rsidR="00F64B3F" w:rsidRPr="004F4090" w:rsidRDefault="0080199E" w:rsidP="00C63DEE">
      <w:pPr>
        <w:spacing w:after="0" w:line="240" w:lineRule="auto"/>
        <w:ind w:left="567" w:hanging="567"/>
        <w:jc w:val="both"/>
        <w:rPr>
          <w:rFonts w:ascii="Arial" w:hAnsi="Arial" w:cs="Arial"/>
          <w:b/>
          <w:color w:val="000000" w:themeColor="text1"/>
          <w:sz w:val="24"/>
          <w:szCs w:val="24"/>
          <w:lang w:eastAsia="ja-JP"/>
        </w:rPr>
      </w:pPr>
      <w:r w:rsidRPr="004F4090">
        <w:rPr>
          <w:rFonts w:ascii="Arial" w:hAnsi="Arial" w:cs="Arial"/>
          <w:b/>
          <w:color w:val="000000" w:themeColor="text1"/>
          <w:sz w:val="24"/>
          <w:szCs w:val="24"/>
          <w:lang w:eastAsia="ja-JP"/>
        </w:rPr>
        <w:t>I</w:t>
      </w:r>
      <w:r w:rsidR="00C0050F" w:rsidRPr="004F4090">
        <w:rPr>
          <w:rFonts w:ascii="Arial" w:hAnsi="Arial" w:cs="Arial"/>
          <w:b/>
          <w:color w:val="000000" w:themeColor="text1"/>
          <w:sz w:val="24"/>
          <w:szCs w:val="24"/>
          <w:lang w:eastAsia="ja-JP"/>
        </w:rPr>
        <w:t>I</w:t>
      </w:r>
      <w:r w:rsidR="000501B9" w:rsidRPr="004F4090">
        <w:rPr>
          <w:rFonts w:ascii="Arial" w:hAnsi="Arial" w:cs="Arial"/>
          <w:b/>
          <w:color w:val="000000" w:themeColor="text1"/>
          <w:sz w:val="24"/>
          <w:szCs w:val="24"/>
          <w:lang w:eastAsia="ja-JP"/>
        </w:rPr>
        <w:t>.</w:t>
      </w:r>
      <w:r w:rsidR="000501B9" w:rsidRPr="004F4090">
        <w:rPr>
          <w:rFonts w:ascii="Arial" w:hAnsi="Arial" w:cs="Arial"/>
          <w:b/>
          <w:color w:val="000000" w:themeColor="text1"/>
          <w:sz w:val="24"/>
          <w:szCs w:val="24"/>
        </w:rPr>
        <w:t xml:space="preserve"> </w:t>
      </w:r>
      <w:r w:rsidR="00C63DEE" w:rsidRPr="004F4090">
        <w:rPr>
          <w:rFonts w:ascii="Arial" w:hAnsi="Arial" w:cs="Arial"/>
          <w:b/>
          <w:color w:val="000000" w:themeColor="text1"/>
          <w:sz w:val="24"/>
          <w:szCs w:val="24"/>
        </w:rPr>
        <w:tab/>
      </w:r>
      <w:r w:rsidR="004B5345" w:rsidRPr="004F4090">
        <w:rPr>
          <w:rFonts w:ascii="Arial" w:hAnsi="Arial" w:cs="Arial"/>
          <w:b/>
          <w:color w:val="000000" w:themeColor="text1"/>
          <w:sz w:val="24"/>
          <w:szCs w:val="24"/>
        </w:rPr>
        <w:t xml:space="preserve">Project Proposal </w:t>
      </w:r>
      <w:r w:rsidR="004B5345" w:rsidRPr="004F4090">
        <w:rPr>
          <w:rFonts w:ascii="Arial" w:hAnsi="Arial" w:cs="Arial"/>
          <w:b/>
          <w:color w:val="000000" w:themeColor="text1"/>
          <w:sz w:val="24"/>
          <w:szCs w:val="24"/>
          <w:lang w:eastAsia="ja-JP"/>
        </w:rPr>
        <w:t>Development</w:t>
      </w:r>
      <w:r w:rsidR="004B5345" w:rsidRPr="004F4090">
        <w:rPr>
          <w:rFonts w:ascii="Arial" w:hAnsi="Arial" w:cs="Arial"/>
          <w:b/>
          <w:color w:val="000000" w:themeColor="text1"/>
          <w:sz w:val="24"/>
          <w:szCs w:val="24"/>
        </w:rPr>
        <w:t xml:space="preserve"> and </w:t>
      </w:r>
      <w:r w:rsidR="00F64B3F" w:rsidRPr="004F4090">
        <w:rPr>
          <w:rFonts w:ascii="Arial" w:hAnsi="Arial" w:cs="Arial"/>
          <w:b/>
          <w:color w:val="000000" w:themeColor="text1"/>
          <w:sz w:val="24"/>
          <w:szCs w:val="24"/>
          <w:lang w:eastAsia="ja-JP"/>
        </w:rPr>
        <w:t>Submission</w:t>
      </w:r>
    </w:p>
    <w:p w14:paraId="7354342D" w14:textId="77777777" w:rsidR="00F64B3F" w:rsidRPr="004F4090" w:rsidRDefault="00F64B3F" w:rsidP="00C63DEE">
      <w:pPr>
        <w:spacing w:after="0" w:line="240" w:lineRule="auto"/>
        <w:jc w:val="both"/>
        <w:rPr>
          <w:rFonts w:ascii="Arial" w:hAnsi="Arial" w:cs="Arial"/>
          <w:b/>
          <w:color w:val="000000" w:themeColor="text1"/>
          <w:sz w:val="24"/>
          <w:szCs w:val="24"/>
        </w:rPr>
      </w:pPr>
    </w:p>
    <w:p w14:paraId="399C9866" w14:textId="1D5CB4D9" w:rsidR="00F64B3F" w:rsidRPr="004F4090" w:rsidRDefault="00F64B3F"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 xml:space="preserve">Project proposals will be developed and submitted to ASEC using the templates provided in </w:t>
      </w:r>
      <w:r w:rsidRPr="004F4090">
        <w:rPr>
          <w:rFonts w:ascii="Arial" w:hAnsi="Arial" w:cs="Arial"/>
          <w:b/>
          <w:color w:val="000000" w:themeColor="text1"/>
          <w:sz w:val="24"/>
          <w:szCs w:val="24"/>
          <w:u w:val="single"/>
          <w:lang w:eastAsia="ja-JP"/>
        </w:rPr>
        <w:t>APPENDIX 1</w:t>
      </w:r>
      <w:r w:rsidRPr="004F4090">
        <w:rPr>
          <w:rFonts w:ascii="Arial" w:hAnsi="Arial" w:cs="Arial"/>
          <w:color w:val="000000" w:themeColor="text1"/>
          <w:sz w:val="24"/>
          <w:szCs w:val="24"/>
        </w:rPr>
        <w:t>. Project proponent can refer to guidance in the Handbook on Proposal Development for ASEAN Cooperation Projects (Chapter 3, and Annex 1 &amp;2 in filling up the templates (</w:t>
      </w:r>
      <w:hyperlink r:id="rId8" w:history="1">
        <w:r w:rsidRPr="004F4090">
          <w:rPr>
            <w:rStyle w:val="Hyperlink"/>
            <w:rFonts w:ascii="Arial" w:hAnsi="Arial" w:cs="Arial"/>
            <w:color w:val="000000" w:themeColor="text1"/>
            <w:sz w:val="24"/>
            <w:szCs w:val="24"/>
          </w:rPr>
          <w:t>https://asean.org/storage/2012/05/Handbook-on-Proposal-Development-for-ASEAN-Cooperation-Projects-1st-Reprint-NEW.pdf</w:t>
        </w:r>
      </w:hyperlink>
      <w:r w:rsidRPr="004F4090">
        <w:rPr>
          <w:rFonts w:ascii="Arial" w:hAnsi="Arial" w:cs="Arial"/>
          <w:color w:val="000000" w:themeColor="text1"/>
          <w:sz w:val="24"/>
          <w:szCs w:val="24"/>
        </w:rPr>
        <w:t xml:space="preserve">). </w:t>
      </w:r>
    </w:p>
    <w:p w14:paraId="478F5174" w14:textId="77777777" w:rsidR="00F64B3F" w:rsidRPr="004F4090" w:rsidRDefault="00F64B3F" w:rsidP="00C63DEE">
      <w:pPr>
        <w:pStyle w:val="ListParagraph"/>
        <w:spacing w:after="0" w:line="240" w:lineRule="auto"/>
        <w:ind w:left="0"/>
        <w:jc w:val="both"/>
        <w:rPr>
          <w:rFonts w:ascii="Arial" w:hAnsi="Arial" w:cs="Arial"/>
          <w:color w:val="000000" w:themeColor="text1"/>
          <w:sz w:val="24"/>
          <w:szCs w:val="24"/>
        </w:rPr>
      </w:pPr>
    </w:p>
    <w:p w14:paraId="6034A528" w14:textId="65A26264" w:rsidR="00F64B3F" w:rsidRPr="004F4090" w:rsidRDefault="004F4090"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 xml:space="preserve">In addition, </w:t>
      </w:r>
      <w:r w:rsidR="00F64B3F" w:rsidRPr="004F4090">
        <w:rPr>
          <w:rFonts w:ascii="Arial" w:hAnsi="Arial" w:cs="Arial"/>
          <w:color w:val="000000" w:themeColor="text1"/>
          <w:sz w:val="24"/>
          <w:szCs w:val="24"/>
        </w:rPr>
        <w:t>the proposal should be in line with the guidance below:</w:t>
      </w:r>
    </w:p>
    <w:p w14:paraId="5EB0DD73" w14:textId="0854320D" w:rsidR="00F64B3F" w:rsidRPr="004F4090" w:rsidRDefault="00F64B3F" w:rsidP="00C63DEE">
      <w:pPr>
        <w:pStyle w:val="ListParagraph"/>
        <w:numPr>
          <w:ilvl w:val="0"/>
          <w:numId w:val="22"/>
        </w:numPr>
        <w:spacing w:after="0" w:line="240" w:lineRule="auto"/>
        <w:ind w:left="1134" w:hanging="567"/>
        <w:jc w:val="both"/>
        <w:rPr>
          <w:rFonts w:ascii="Arial" w:hAnsi="Arial" w:cs="Arial"/>
          <w:color w:val="000000" w:themeColor="text1"/>
          <w:sz w:val="24"/>
          <w:szCs w:val="24"/>
        </w:rPr>
      </w:pPr>
      <w:r w:rsidRPr="004F4090">
        <w:rPr>
          <w:rFonts w:ascii="Arial" w:hAnsi="Arial" w:cs="Arial"/>
          <w:color w:val="000000" w:themeColor="text1"/>
          <w:sz w:val="24"/>
          <w:szCs w:val="24"/>
        </w:rPr>
        <w:t>Each budget item in the budget proposal (</w:t>
      </w:r>
      <w:hyperlink r:id="rId9" w:history="1">
        <w:r w:rsidRPr="004F4090">
          <w:rPr>
            <w:rStyle w:val="Hyperlink"/>
            <w:rFonts w:ascii="Arial" w:hAnsi="Arial" w:cs="Arial"/>
            <w:color w:val="000000" w:themeColor="text1"/>
            <w:sz w:val="24"/>
            <w:szCs w:val="24"/>
          </w:rPr>
          <w:t>Annex 1 of the Project Template</w:t>
        </w:r>
      </w:hyperlink>
      <w:r w:rsidRPr="004F4090">
        <w:rPr>
          <w:rFonts w:ascii="Arial" w:hAnsi="Arial" w:cs="Arial"/>
          <w:color w:val="000000" w:themeColor="text1"/>
          <w:sz w:val="24"/>
          <w:szCs w:val="24"/>
        </w:rPr>
        <w:t xml:space="preserve">) should follow the AKEC Pro-forma Cost in </w:t>
      </w:r>
      <w:r w:rsidRPr="004F4090">
        <w:rPr>
          <w:rFonts w:ascii="Arial" w:hAnsi="Arial" w:cs="Arial"/>
          <w:b/>
          <w:color w:val="000000" w:themeColor="text1"/>
          <w:sz w:val="24"/>
          <w:szCs w:val="24"/>
          <w:u w:val="single"/>
          <w:lang w:eastAsia="ja-JP"/>
        </w:rPr>
        <w:t>APPENDIX 2</w:t>
      </w:r>
      <w:r w:rsidRPr="004F4090">
        <w:rPr>
          <w:rFonts w:ascii="Arial" w:hAnsi="Arial" w:cs="Arial"/>
          <w:color w:val="000000" w:themeColor="text1"/>
          <w:sz w:val="24"/>
          <w:szCs w:val="24"/>
        </w:rPr>
        <w:t>. Budget items</w:t>
      </w:r>
      <w:r w:rsidR="00784A31">
        <w:rPr>
          <w:rFonts w:ascii="Arial" w:hAnsi="Arial" w:cs="Arial"/>
          <w:color w:val="000000" w:themeColor="text1"/>
          <w:sz w:val="24"/>
          <w:szCs w:val="24"/>
        </w:rPr>
        <w:t xml:space="preserve"> that are not stated in the Pro</w:t>
      </w:r>
      <w:r w:rsidR="00666C9E">
        <w:rPr>
          <w:rFonts w:ascii="Arial" w:hAnsi="Arial" w:cs="Arial"/>
          <w:color w:val="000000" w:themeColor="text1"/>
          <w:sz w:val="24"/>
          <w:szCs w:val="24"/>
        </w:rPr>
        <w:t>-</w:t>
      </w:r>
      <w:r w:rsidRPr="004F4090">
        <w:rPr>
          <w:rFonts w:ascii="Arial" w:hAnsi="Arial" w:cs="Arial"/>
          <w:color w:val="000000" w:themeColor="text1"/>
          <w:sz w:val="24"/>
          <w:szCs w:val="24"/>
        </w:rPr>
        <w:t xml:space="preserve">forma Cost should be consulted with the AKFTA WGEC through ASEC. </w:t>
      </w:r>
    </w:p>
    <w:p w14:paraId="741CFFD4" w14:textId="77777777" w:rsidR="00C63DEE" w:rsidRPr="004F4090" w:rsidRDefault="00C63DEE" w:rsidP="00C63DEE">
      <w:pPr>
        <w:pStyle w:val="ListParagraph"/>
        <w:spacing w:after="0" w:line="240" w:lineRule="auto"/>
        <w:ind w:left="1134"/>
        <w:jc w:val="both"/>
        <w:rPr>
          <w:rFonts w:ascii="Arial" w:hAnsi="Arial" w:cs="Arial"/>
          <w:color w:val="000000" w:themeColor="text1"/>
          <w:sz w:val="24"/>
          <w:szCs w:val="24"/>
        </w:rPr>
      </w:pPr>
    </w:p>
    <w:p w14:paraId="422C7086" w14:textId="29520CBF" w:rsidR="00F64B3F" w:rsidRDefault="00F64B3F" w:rsidP="00C63DEE">
      <w:pPr>
        <w:pStyle w:val="ListParagraph"/>
        <w:numPr>
          <w:ilvl w:val="0"/>
          <w:numId w:val="22"/>
        </w:numPr>
        <w:spacing w:after="0" w:line="240" w:lineRule="auto"/>
        <w:ind w:left="1134" w:hanging="567"/>
        <w:jc w:val="both"/>
        <w:rPr>
          <w:rFonts w:ascii="Arial" w:hAnsi="Arial" w:cs="Arial"/>
          <w:color w:val="000000" w:themeColor="text1"/>
          <w:sz w:val="24"/>
          <w:szCs w:val="24"/>
        </w:rPr>
      </w:pPr>
      <w:r w:rsidRPr="004F4090">
        <w:rPr>
          <w:rFonts w:ascii="Arial" w:hAnsi="Arial" w:cs="Arial"/>
          <w:color w:val="000000" w:themeColor="text1"/>
          <w:sz w:val="24"/>
          <w:szCs w:val="24"/>
        </w:rPr>
        <w:t>If the proponent intends to employ an Implementing Agency (IA), they are requested to include the TOR of IA in the proposal, including detailed information on the IA and the allocation of budget</w:t>
      </w:r>
      <w:r w:rsidR="00C0050F" w:rsidRPr="004F4090">
        <w:rPr>
          <w:rFonts w:ascii="Arial" w:hAnsi="Arial" w:cs="Arial"/>
          <w:color w:val="000000" w:themeColor="text1"/>
          <w:sz w:val="24"/>
          <w:szCs w:val="24"/>
        </w:rPr>
        <w:t xml:space="preserve">. </w:t>
      </w:r>
      <w:r w:rsidRPr="004F4090">
        <w:rPr>
          <w:rFonts w:ascii="Arial" w:hAnsi="Arial" w:cs="Arial"/>
          <w:color w:val="000000" w:themeColor="text1"/>
          <w:sz w:val="24"/>
          <w:szCs w:val="24"/>
        </w:rPr>
        <w:t>The proponents should provide their selection criteria and the justification of selection in the proposal.</w:t>
      </w:r>
    </w:p>
    <w:p w14:paraId="53EF9AD7" w14:textId="77777777" w:rsidR="002E046A" w:rsidRPr="002E046A" w:rsidRDefault="002E046A" w:rsidP="002E046A">
      <w:pPr>
        <w:pStyle w:val="ListParagraph"/>
        <w:rPr>
          <w:rFonts w:ascii="Arial" w:hAnsi="Arial" w:cs="Arial"/>
          <w:color w:val="000000" w:themeColor="text1"/>
          <w:sz w:val="24"/>
          <w:szCs w:val="24"/>
        </w:rPr>
      </w:pPr>
    </w:p>
    <w:p w14:paraId="4BBFB395" w14:textId="77777777" w:rsidR="002E046A" w:rsidRPr="004F4090" w:rsidRDefault="002E046A" w:rsidP="002E046A">
      <w:pPr>
        <w:pStyle w:val="ListParagraph"/>
        <w:spacing w:after="0" w:line="240" w:lineRule="auto"/>
        <w:ind w:left="1134"/>
        <w:jc w:val="both"/>
        <w:rPr>
          <w:rFonts w:ascii="Arial" w:hAnsi="Arial" w:cs="Arial"/>
          <w:color w:val="000000" w:themeColor="text1"/>
          <w:sz w:val="24"/>
          <w:szCs w:val="24"/>
        </w:rPr>
      </w:pPr>
    </w:p>
    <w:p w14:paraId="3DE5A629" w14:textId="002D3FEF" w:rsidR="00F64B3F" w:rsidRPr="004F4090" w:rsidRDefault="00F64B3F" w:rsidP="00C63DEE">
      <w:pPr>
        <w:pStyle w:val="ListParagraph"/>
        <w:numPr>
          <w:ilvl w:val="0"/>
          <w:numId w:val="22"/>
        </w:numPr>
        <w:spacing w:after="0" w:line="240" w:lineRule="auto"/>
        <w:ind w:left="1134" w:hanging="567"/>
        <w:jc w:val="both"/>
        <w:rPr>
          <w:rFonts w:ascii="Arial" w:hAnsi="Arial" w:cs="Arial"/>
          <w:color w:val="000000" w:themeColor="text1"/>
          <w:sz w:val="24"/>
          <w:szCs w:val="24"/>
        </w:rPr>
      </w:pPr>
      <w:r w:rsidRPr="004F4090">
        <w:rPr>
          <w:rFonts w:ascii="Arial" w:hAnsi="Arial" w:cs="Arial"/>
          <w:color w:val="000000" w:themeColor="text1"/>
          <w:sz w:val="24"/>
          <w:szCs w:val="24"/>
        </w:rPr>
        <w:lastRenderedPageBreak/>
        <w:t>Pr</w:t>
      </w:r>
      <w:r w:rsidR="00784A31">
        <w:rPr>
          <w:rFonts w:ascii="Arial" w:hAnsi="Arial" w:cs="Arial"/>
          <w:color w:val="000000" w:themeColor="text1"/>
          <w:sz w:val="24"/>
          <w:szCs w:val="24"/>
        </w:rPr>
        <w:t xml:space="preserve">oposals of multi-year </w:t>
      </w:r>
      <w:proofErr w:type="spellStart"/>
      <w:r w:rsidR="00784A31">
        <w:rPr>
          <w:rFonts w:ascii="Arial" w:hAnsi="Arial" w:cs="Arial"/>
          <w:color w:val="000000" w:themeColor="text1"/>
          <w:sz w:val="24"/>
          <w:szCs w:val="24"/>
        </w:rPr>
        <w:t>programme</w:t>
      </w:r>
      <w:proofErr w:type="spellEnd"/>
      <w:r w:rsidR="00784A31">
        <w:rPr>
          <w:rFonts w:ascii="Arial" w:hAnsi="Arial" w:cs="Arial"/>
          <w:color w:val="000000" w:themeColor="text1"/>
          <w:sz w:val="24"/>
          <w:szCs w:val="24"/>
        </w:rPr>
        <w:t xml:space="preserve"> </w:t>
      </w:r>
      <w:r w:rsidRPr="004F4090">
        <w:rPr>
          <w:rFonts w:ascii="Arial" w:hAnsi="Arial" w:cs="Arial"/>
          <w:color w:val="000000" w:themeColor="text1"/>
          <w:sz w:val="24"/>
          <w:szCs w:val="24"/>
        </w:rPr>
        <w:t xml:space="preserve">/projects should include a paragraph on the submission of </w:t>
      </w:r>
      <w:r w:rsidRPr="004F4090">
        <w:rPr>
          <w:rFonts w:ascii="Arial" w:hAnsi="Arial" w:cs="Arial"/>
          <w:noProof/>
          <w:color w:val="000000" w:themeColor="text1"/>
          <w:sz w:val="24"/>
          <w:szCs w:val="24"/>
        </w:rPr>
        <w:t>an Annual</w:t>
      </w:r>
      <w:r w:rsidRPr="004F4090">
        <w:rPr>
          <w:rFonts w:ascii="Arial" w:hAnsi="Arial" w:cs="Arial"/>
          <w:color w:val="000000" w:themeColor="text1"/>
          <w:sz w:val="24"/>
          <w:szCs w:val="24"/>
        </w:rPr>
        <w:t xml:space="preserve"> Financial Interim Report, Annual Interim Report and Project Completion Report. The annual reports shall be submitted within 30 calendar days </w:t>
      </w:r>
      <w:r w:rsidR="00424BE7" w:rsidRPr="004F4090">
        <w:rPr>
          <w:rFonts w:ascii="Arial" w:hAnsi="Arial" w:cs="Arial"/>
          <w:color w:val="000000" w:themeColor="text1"/>
          <w:sz w:val="24"/>
          <w:szCs w:val="24"/>
        </w:rPr>
        <w:t>after the</w:t>
      </w:r>
      <w:r w:rsidRPr="004F4090">
        <w:rPr>
          <w:rFonts w:ascii="Arial" w:hAnsi="Arial" w:cs="Arial"/>
          <w:color w:val="000000" w:themeColor="text1"/>
          <w:sz w:val="24"/>
          <w:szCs w:val="24"/>
        </w:rPr>
        <w:t xml:space="preserve"> end of ASEC</w:t>
      </w:r>
      <w:r w:rsidR="00424BE7" w:rsidRPr="004F4090">
        <w:rPr>
          <w:rFonts w:ascii="Arial" w:hAnsi="Arial" w:cs="Arial"/>
          <w:color w:val="000000" w:themeColor="text1"/>
          <w:sz w:val="24"/>
          <w:szCs w:val="24"/>
        </w:rPr>
        <w:t>’s</w:t>
      </w:r>
      <w:r w:rsidRPr="004F4090">
        <w:rPr>
          <w:rFonts w:ascii="Arial" w:hAnsi="Arial" w:cs="Arial"/>
          <w:color w:val="000000" w:themeColor="text1"/>
          <w:sz w:val="24"/>
          <w:szCs w:val="24"/>
        </w:rPr>
        <w:t xml:space="preserve"> fiscal year while </w:t>
      </w:r>
      <w:r w:rsidRPr="004F4090">
        <w:rPr>
          <w:rFonts w:ascii="Arial" w:hAnsi="Arial" w:cs="Arial"/>
          <w:noProof/>
          <w:color w:val="000000" w:themeColor="text1"/>
          <w:sz w:val="24"/>
          <w:szCs w:val="24"/>
        </w:rPr>
        <w:t>a Project</w:t>
      </w:r>
      <w:r w:rsidRPr="004F4090">
        <w:rPr>
          <w:rFonts w:ascii="Arial" w:hAnsi="Arial" w:cs="Arial"/>
          <w:color w:val="000000" w:themeColor="text1"/>
          <w:sz w:val="24"/>
          <w:szCs w:val="24"/>
        </w:rPr>
        <w:t xml:space="preserve"> Completion Report (PCR) should be </w:t>
      </w:r>
      <w:r w:rsidRPr="004F4090">
        <w:rPr>
          <w:rFonts w:ascii="Arial" w:hAnsi="Arial" w:cs="Arial"/>
          <w:noProof/>
          <w:color w:val="000000" w:themeColor="text1"/>
          <w:sz w:val="24"/>
          <w:szCs w:val="24"/>
        </w:rPr>
        <w:t>submitted</w:t>
      </w:r>
      <w:r w:rsidRPr="004F4090">
        <w:rPr>
          <w:rFonts w:ascii="Arial" w:hAnsi="Arial" w:cs="Arial"/>
          <w:color w:val="000000" w:themeColor="text1"/>
          <w:sz w:val="24"/>
          <w:szCs w:val="24"/>
        </w:rPr>
        <w:t xml:space="preserve"> within 60 calendar days after the project is implemented.</w:t>
      </w:r>
    </w:p>
    <w:p w14:paraId="7C5D9452" w14:textId="77777777" w:rsidR="00F64B3F" w:rsidRPr="004F4090" w:rsidRDefault="00F64B3F" w:rsidP="00C63DEE">
      <w:pPr>
        <w:spacing w:after="0" w:line="240" w:lineRule="auto"/>
        <w:jc w:val="both"/>
        <w:rPr>
          <w:rFonts w:ascii="Arial" w:hAnsi="Arial" w:cs="Arial"/>
          <w:b/>
          <w:color w:val="000000" w:themeColor="text1"/>
          <w:sz w:val="24"/>
          <w:szCs w:val="24"/>
          <w:lang w:eastAsia="ja-JP"/>
        </w:rPr>
      </w:pPr>
    </w:p>
    <w:p w14:paraId="2A3CA0DD" w14:textId="6FD1B1C7" w:rsidR="00947B25" w:rsidRPr="004F4090" w:rsidRDefault="00553C09" w:rsidP="00C63DEE">
      <w:pPr>
        <w:pStyle w:val="ListContinue"/>
        <w:tabs>
          <w:tab w:val="left" w:pos="567"/>
        </w:tabs>
        <w:spacing w:before="0" w:after="0" w:line="240" w:lineRule="auto"/>
        <w:jc w:val="both"/>
        <w:rPr>
          <w:rFonts w:ascii="Arial" w:hAnsi="Arial" w:cs="Arial"/>
          <w:b/>
          <w:color w:val="000000" w:themeColor="text1"/>
          <w:sz w:val="24"/>
          <w:szCs w:val="24"/>
        </w:rPr>
      </w:pPr>
      <w:r w:rsidRPr="004F4090">
        <w:rPr>
          <w:rFonts w:ascii="Arial" w:hAnsi="Arial" w:cs="Arial"/>
          <w:b/>
          <w:color w:val="000000" w:themeColor="text1"/>
          <w:sz w:val="24"/>
          <w:szCs w:val="24"/>
        </w:rPr>
        <w:t xml:space="preserve">III. </w:t>
      </w:r>
      <w:r w:rsidR="00C63DEE" w:rsidRPr="004F4090">
        <w:rPr>
          <w:rFonts w:ascii="Arial" w:hAnsi="Arial" w:cs="Arial"/>
          <w:b/>
          <w:color w:val="000000" w:themeColor="text1"/>
          <w:sz w:val="24"/>
          <w:szCs w:val="24"/>
        </w:rPr>
        <w:tab/>
      </w:r>
      <w:r w:rsidR="006E4B2F" w:rsidRPr="004F4090">
        <w:rPr>
          <w:rFonts w:ascii="Arial" w:hAnsi="Arial" w:cs="Arial"/>
          <w:b/>
          <w:color w:val="000000" w:themeColor="text1"/>
          <w:sz w:val="24"/>
          <w:szCs w:val="24"/>
        </w:rPr>
        <w:t xml:space="preserve">Project </w:t>
      </w:r>
      <w:r w:rsidR="00F96928" w:rsidRPr="004F4090">
        <w:rPr>
          <w:rFonts w:ascii="Arial" w:hAnsi="Arial" w:cs="Arial"/>
          <w:b/>
          <w:color w:val="000000" w:themeColor="text1"/>
          <w:sz w:val="24"/>
          <w:szCs w:val="24"/>
        </w:rPr>
        <w:t xml:space="preserve">Proposal </w:t>
      </w:r>
      <w:r w:rsidR="006E4B2F" w:rsidRPr="004F4090">
        <w:rPr>
          <w:rFonts w:ascii="Arial" w:hAnsi="Arial" w:cs="Arial"/>
          <w:b/>
          <w:color w:val="000000" w:themeColor="text1"/>
          <w:sz w:val="24"/>
          <w:szCs w:val="24"/>
        </w:rPr>
        <w:t>Assessment and Approval</w:t>
      </w:r>
    </w:p>
    <w:p w14:paraId="0977D8D9" w14:textId="77777777" w:rsidR="008336EB" w:rsidRPr="004F4090" w:rsidRDefault="008336EB" w:rsidP="00C63DEE">
      <w:pPr>
        <w:spacing w:after="0" w:line="240" w:lineRule="auto"/>
        <w:jc w:val="both"/>
        <w:rPr>
          <w:rFonts w:ascii="Arial" w:hAnsi="Arial" w:cs="Arial"/>
          <w:b/>
          <w:color w:val="000000" w:themeColor="text1"/>
          <w:sz w:val="24"/>
          <w:szCs w:val="24"/>
          <w:u w:val="single"/>
          <w:lang w:eastAsia="ja-JP"/>
        </w:rPr>
      </w:pPr>
    </w:p>
    <w:p w14:paraId="0D87E6E5" w14:textId="48750A93" w:rsidR="008336EB" w:rsidRPr="004F4090" w:rsidRDefault="007B2E4D" w:rsidP="00C63DEE">
      <w:pPr>
        <w:pStyle w:val="ListParagraph"/>
        <w:numPr>
          <w:ilvl w:val="0"/>
          <w:numId w:val="7"/>
        </w:numPr>
        <w:tabs>
          <w:tab w:val="left" w:pos="567"/>
        </w:tabs>
        <w:spacing w:after="0" w:line="240" w:lineRule="auto"/>
        <w:ind w:left="0" w:firstLine="0"/>
        <w:jc w:val="both"/>
        <w:rPr>
          <w:rFonts w:ascii="Arial" w:hAnsi="Arial" w:cs="Arial"/>
          <w:b/>
          <w:color w:val="000000" w:themeColor="text1"/>
          <w:sz w:val="24"/>
          <w:szCs w:val="24"/>
          <w:u w:val="single"/>
          <w:lang w:eastAsia="ja-JP"/>
        </w:rPr>
      </w:pPr>
      <w:r w:rsidRPr="004F4090">
        <w:rPr>
          <w:rFonts w:ascii="Arial" w:hAnsi="Arial" w:cs="Arial"/>
          <w:color w:val="000000" w:themeColor="text1"/>
          <w:sz w:val="24"/>
          <w:szCs w:val="24"/>
          <w:lang w:val="en-GB"/>
        </w:rPr>
        <w:t>The</w:t>
      </w:r>
      <w:r w:rsidRPr="004F4090">
        <w:rPr>
          <w:rFonts w:ascii="Arial" w:hAnsi="Arial" w:cs="Arial"/>
          <w:color w:val="000000" w:themeColor="text1"/>
          <w:sz w:val="24"/>
          <w:szCs w:val="24"/>
        </w:rPr>
        <w:t xml:space="preserve"> assessment of a project proposal will be conducted on the project</w:t>
      </w:r>
      <w:r w:rsidR="00AE540A" w:rsidRPr="004F4090">
        <w:rPr>
          <w:rFonts w:ascii="Arial" w:hAnsi="Arial" w:cs="Arial"/>
          <w:color w:val="000000" w:themeColor="text1"/>
          <w:sz w:val="24"/>
          <w:szCs w:val="24"/>
        </w:rPr>
        <w:t>’s compliance with the</w:t>
      </w:r>
      <w:r w:rsidRPr="004F4090">
        <w:rPr>
          <w:rFonts w:ascii="Arial" w:hAnsi="Arial" w:cs="Arial"/>
          <w:color w:val="000000" w:themeColor="text1"/>
          <w:sz w:val="24"/>
          <w:szCs w:val="24"/>
        </w:rPr>
        <w:t xml:space="preserve"> </w:t>
      </w:r>
      <w:r w:rsidR="00AE540A" w:rsidRPr="004F4090">
        <w:rPr>
          <w:rFonts w:ascii="Arial" w:hAnsi="Arial" w:cs="Arial"/>
          <w:color w:val="000000" w:themeColor="text1"/>
          <w:sz w:val="24"/>
          <w:szCs w:val="24"/>
        </w:rPr>
        <w:t xml:space="preserve">eligibility </w:t>
      </w:r>
      <w:r w:rsidRPr="004F4090">
        <w:rPr>
          <w:rFonts w:ascii="Arial" w:hAnsi="Arial" w:cs="Arial"/>
          <w:color w:val="000000" w:themeColor="text1"/>
          <w:sz w:val="24"/>
          <w:szCs w:val="24"/>
        </w:rPr>
        <w:t xml:space="preserve">criteria, its alignment with sectoral strategic plan/ work plan or equivalent and potential for positive contribution to the sectoral priorities. </w:t>
      </w:r>
      <w:r w:rsidR="00062B8F" w:rsidRPr="004F4090">
        <w:rPr>
          <w:rFonts w:ascii="Arial" w:hAnsi="Arial"/>
          <w:color w:val="000000" w:themeColor="text1"/>
          <w:sz w:val="24"/>
        </w:rPr>
        <w:t xml:space="preserve">ASEC will conduct initial screening of </w:t>
      </w:r>
      <w:r w:rsidR="004E3064" w:rsidRPr="004F4090">
        <w:rPr>
          <w:rFonts w:ascii="Arial" w:hAnsi="Arial"/>
          <w:color w:val="000000" w:themeColor="text1"/>
          <w:sz w:val="24"/>
        </w:rPr>
        <w:t>project proposals</w:t>
      </w:r>
      <w:r w:rsidR="00062B8F" w:rsidRPr="004F4090">
        <w:rPr>
          <w:rFonts w:ascii="Arial" w:hAnsi="Arial"/>
          <w:color w:val="000000" w:themeColor="text1"/>
          <w:sz w:val="24"/>
        </w:rPr>
        <w:t xml:space="preserve"> before conveying to the AKFTA-WGEC</w:t>
      </w:r>
      <w:r w:rsidR="0029500C" w:rsidRPr="004F4090">
        <w:rPr>
          <w:rFonts w:ascii="Arial" w:hAnsi="Arial"/>
          <w:color w:val="000000" w:themeColor="text1"/>
          <w:sz w:val="24"/>
        </w:rPr>
        <w:t xml:space="preserve">. </w:t>
      </w:r>
    </w:p>
    <w:p w14:paraId="14223A3B" w14:textId="77777777" w:rsidR="0054128F" w:rsidRPr="004F4090" w:rsidRDefault="0054128F" w:rsidP="00C63DEE">
      <w:pPr>
        <w:pStyle w:val="ListParagraph"/>
        <w:tabs>
          <w:tab w:val="left" w:pos="567"/>
        </w:tabs>
        <w:spacing w:after="0" w:line="240" w:lineRule="auto"/>
        <w:ind w:left="0"/>
        <w:jc w:val="both"/>
        <w:rPr>
          <w:rFonts w:ascii="Arial" w:hAnsi="Arial" w:cs="Arial"/>
          <w:b/>
          <w:color w:val="000000" w:themeColor="text1"/>
          <w:sz w:val="24"/>
          <w:szCs w:val="24"/>
          <w:u w:val="single"/>
          <w:lang w:eastAsia="ja-JP"/>
        </w:rPr>
      </w:pPr>
    </w:p>
    <w:p w14:paraId="77F619D2" w14:textId="4CDCF07F" w:rsidR="00B66590" w:rsidRPr="004F4090" w:rsidRDefault="009B7733" w:rsidP="00C63DEE">
      <w:pPr>
        <w:pStyle w:val="ListParagraph"/>
        <w:numPr>
          <w:ilvl w:val="0"/>
          <w:numId w:val="7"/>
        </w:numPr>
        <w:tabs>
          <w:tab w:val="left" w:pos="567"/>
        </w:tabs>
        <w:spacing w:after="0" w:line="240" w:lineRule="auto"/>
        <w:ind w:left="0" w:firstLine="0"/>
        <w:jc w:val="both"/>
        <w:rPr>
          <w:rFonts w:ascii="Arial" w:hAnsi="Arial"/>
          <w:color w:val="000000" w:themeColor="text1"/>
          <w:sz w:val="24"/>
        </w:rPr>
      </w:pPr>
      <w:r w:rsidRPr="004F4090">
        <w:rPr>
          <w:rFonts w:ascii="Arial" w:hAnsi="Arial"/>
          <w:color w:val="000000" w:themeColor="text1"/>
          <w:sz w:val="24"/>
        </w:rPr>
        <w:t>T</w:t>
      </w:r>
      <w:r w:rsidR="003F058E" w:rsidRPr="004F4090">
        <w:rPr>
          <w:rFonts w:ascii="Arial" w:hAnsi="Arial"/>
          <w:color w:val="000000" w:themeColor="text1"/>
          <w:sz w:val="24"/>
        </w:rPr>
        <w:t xml:space="preserve">he </w:t>
      </w:r>
      <w:r w:rsidR="00B66590" w:rsidRPr="004F4090">
        <w:rPr>
          <w:rFonts w:ascii="Arial" w:hAnsi="Arial"/>
          <w:color w:val="000000" w:themeColor="text1"/>
          <w:sz w:val="24"/>
        </w:rPr>
        <w:t>Assessment Form</w:t>
      </w:r>
      <w:r w:rsidR="003F058E" w:rsidRPr="004F4090">
        <w:rPr>
          <w:rFonts w:ascii="Arial" w:hAnsi="Arial"/>
          <w:color w:val="000000" w:themeColor="text1"/>
          <w:sz w:val="24"/>
        </w:rPr>
        <w:t xml:space="preserve">, appearing as </w:t>
      </w:r>
      <w:r w:rsidR="009732D3" w:rsidRPr="004F4090">
        <w:rPr>
          <w:rFonts w:ascii="Arial" w:hAnsi="Arial"/>
          <w:b/>
          <w:color w:val="000000" w:themeColor="text1"/>
          <w:sz w:val="24"/>
          <w:u w:val="single"/>
        </w:rPr>
        <w:t>APPENDIX 3</w:t>
      </w:r>
      <w:r w:rsidRPr="004F4090">
        <w:rPr>
          <w:rFonts w:ascii="Arial" w:hAnsi="Arial"/>
          <w:color w:val="000000" w:themeColor="text1"/>
          <w:sz w:val="24"/>
        </w:rPr>
        <w:t xml:space="preserve">, shall be used in assessing the </w:t>
      </w:r>
      <w:r w:rsidR="003963A7" w:rsidRPr="004F4090">
        <w:rPr>
          <w:rFonts w:ascii="Arial" w:hAnsi="Arial"/>
          <w:color w:val="000000" w:themeColor="text1"/>
          <w:sz w:val="24"/>
        </w:rPr>
        <w:t>project proposal</w:t>
      </w:r>
      <w:r w:rsidR="00B66590" w:rsidRPr="004F4090">
        <w:rPr>
          <w:rFonts w:ascii="Arial" w:hAnsi="Arial"/>
          <w:color w:val="000000" w:themeColor="text1"/>
          <w:sz w:val="24"/>
        </w:rPr>
        <w:t xml:space="preserve"> </w:t>
      </w:r>
      <w:r w:rsidR="003963A7" w:rsidRPr="004F4090">
        <w:rPr>
          <w:rFonts w:ascii="Arial" w:hAnsi="Arial"/>
          <w:color w:val="000000" w:themeColor="text1"/>
          <w:sz w:val="24"/>
        </w:rPr>
        <w:t xml:space="preserve">in term of compliance </w:t>
      </w:r>
      <w:r w:rsidR="00B66590" w:rsidRPr="004F4090">
        <w:rPr>
          <w:rFonts w:ascii="Arial" w:hAnsi="Arial"/>
          <w:color w:val="000000" w:themeColor="text1"/>
          <w:sz w:val="24"/>
        </w:rPr>
        <w:t>with the eligibility criteria</w:t>
      </w:r>
      <w:r w:rsidR="003963A7" w:rsidRPr="004F4090">
        <w:rPr>
          <w:rFonts w:ascii="Arial" w:hAnsi="Arial"/>
          <w:color w:val="000000" w:themeColor="text1"/>
          <w:sz w:val="24"/>
        </w:rPr>
        <w:t xml:space="preserve">, and its possible </w:t>
      </w:r>
      <w:r w:rsidR="00AF3AF5" w:rsidRPr="004F4090">
        <w:rPr>
          <w:rFonts w:ascii="Arial" w:hAnsi="Arial"/>
          <w:color w:val="000000" w:themeColor="text1"/>
          <w:sz w:val="24"/>
        </w:rPr>
        <w:t>value/</w:t>
      </w:r>
      <w:r w:rsidR="003963A7" w:rsidRPr="004F4090">
        <w:rPr>
          <w:rFonts w:ascii="Arial" w:hAnsi="Arial"/>
          <w:color w:val="000000" w:themeColor="text1"/>
          <w:sz w:val="24"/>
        </w:rPr>
        <w:t>impact</w:t>
      </w:r>
      <w:r w:rsidR="00AF3AF5" w:rsidRPr="004F4090">
        <w:rPr>
          <w:rFonts w:ascii="Arial" w:hAnsi="Arial"/>
          <w:color w:val="000000" w:themeColor="text1"/>
          <w:sz w:val="24"/>
        </w:rPr>
        <w:t>.</w:t>
      </w:r>
      <w:r w:rsidR="003963A7" w:rsidRPr="004F4090">
        <w:rPr>
          <w:rFonts w:ascii="Arial" w:hAnsi="Arial"/>
          <w:color w:val="000000" w:themeColor="text1"/>
          <w:sz w:val="24"/>
        </w:rPr>
        <w:t xml:space="preserve"> Double score </w:t>
      </w:r>
      <w:r w:rsidR="004B387B" w:rsidRPr="004F4090">
        <w:rPr>
          <w:rFonts w:ascii="Arial" w:hAnsi="Arial"/>
          <w:color w:val="000000" w:themeColor="text1"/>
          <w:sz w:val="24"/>
        </w:rPr>
        <w:t xml:space="preserve">is assigned to </w:t>
      </w:r>
      <w:r w:rsidR="007D26D1" w:rsidRPr="004F4090">
        <w:rPr>
          <w:rFonts w:ascii="Arial" w:hAnsi="Arial"/>
          <w:color w:val="000000" w:themeColor="text1"/>
          <w:sz w:val="24"/>
        </w:rPr>
        <w:t>“</w:t>
      </w:r>
      <w:r w:rsidR="004B387B" w:rsidRPr="004F4090">
        <w:rPr>
          <w:rFonts w:ascii="Arial" w:hAnsi="Arial"/>
          <w:color w:val="000000" w:themeColor="text1"/>
          <w:sz w:val="24"/>
        </w:rPr>
        <w:t>Relevan</w:t>
      </w:r>
      <w:r w:rsidR="00AF3AF5" w:rsidRPr="004F4090">
        <w:rPr>
          <w:rFonts w:ascii="Arial" w:hAnsi="Arial"/>
          <w:color w:val="000000" w:themeColor="text1"/>
          <w:sz w:val="24"/>
        </w:rPr>
        <w:t>ce/ Priority</w:t>
      </w:r>
      <w:r w:rsidR="007D26D1" w:rsidRPr="004F4090">
        <w:rPr>
          <w:rFonts w:ascii="Arial" w:hAnsi="Arial"/>
          <w:color w:val="000000" w:themeColor="text1"/>
          <w:sz w:val="24"/>
        </w:rPr>
        <w:t>”</w:t>
      </w:r>
      <w:r w:rsidR="00AF3AF5" w:rsidRPr="004F4090">
        <w:rPr>
          <w:rFonts w:ascii="Arial" w:hAnsi="Arial"/>
          <w:color w:val="000000" w:themeColor="text1"/>
          <w:sz w:val="24"/>
        </w:rPr>
        <w:t xml:space="preserve"> and </w:t>
      </w:r>
      <w:r w:rsidR="007D26D1" w:rsidRPr="004F4090">
        <w:rPr>
          <w:rFonts w:ascii="Arial" w:hAnsi="Arial"/>
          <w:color w:val="000000" w:themeColor="text1"/>
          <w:sz w:val="24"/>
        </w:rPr>
        <w:t>“Impact”</w:t>
      </w:r>
      <w:r w:rsidR="00AF3AF5" w:rsidRPr="004F4090">
        <w:rPr>
          <w:rFonts w:ascii="Arial" w:hAnsi="Arial"/>
          <w:color w:val="000000" w:themeColor="text1"/>
          <w:sz w:val="24"/>
        </w:rPr>
        <w:t xml:space="preserve">. Projects will be ranked </w:t>
      </w:r>
      <w:r w:rsidR="00553C09" w:rsidRPr="004F4090">
        <w:rPr>
          <w:rFonts w:ascii="Arial" w:hAnsi="Arial"/>
          <w:color w:val="000000" w:themeColor="text1"/>
          <w:sz w:val="24"/>
        </w:rPr>
        <w:t xml:space="preserve">with an ordinal ranking </w:t>
      </w:r>
      <w:r w:rsidR="00AF3AF5" w:rsidRPr="004F4090">
        <w:rPr>
          <w:rFonts w:ascii="Arial" w:hAnsi="Arial"/>
          <w:color w:val="000000" w:themeColor="text1"/>
          <w:sz w:val="24"/>
        </w:rPr>
        <w:t xml:space="preserve">according to their scores. </w:t>
      </w:r>
      <w:r w:rsidR="00B66590" w:rsidRPr="004F4090">
        <w:rPr>
          <w:rFonts w:ascii="Arial" w:hAnsi="Arial"/>
          <w:color w:val="000000" w:themeColor="text1"/>
          <w:sz w:val="24"/>
        </w:rPr>
        <w:t>The</w:t>
      </w:r>
      <w:r w:rsidR="000A1354" w:rsidRPr="004F4090">
        <w:rPr>
          <w:rFonts w:ascii="Arial" w:hAnsi="Arial"/>
          <w:color w:val="000000" w:themeColor="text1"/>
          <w:sz w:val="24"/>
        </w:rPr>
        <w:t xml:space="preserve"> selection of project proposals shall be </w:t>
      </w:r>
      <w:r w:rsidR="00AF3AF5" w:rsidRPr="004F4090">
        <w:rPr>
          <w:rFonts w:ascii="Arial" w:hAnsi="Arial"/>
          <w:color w:val="000000" w:themeColor="text1"/>
          <w:sz w:val="24"/>
        </w:rPr>
        <w:t>b</w:t>
      </w:r>
      <w:r w:rsidR="000A1354" w:rsidRPr="004F4090">
        <w:rPr>
          <w:rFonts w:ascii="Arial" w:hAnsi="Arial"/>
          <w:color w:val="000000" w:themeColor="text1"/>
          <w:sz w:val="24"/>
        </w:rPr>
        <w:t xml:space="preserve">ased on the </w:t>
      </w:r>
      <w:r w:rsidR="00AF3AF5" w:rsidRPr="004F4090">
        <w:rPr>
          <w:rFonts w:ascii="Arial" w:hAnsi="Arial"/>
          <w:color w:val="000000" w:themeColor="text1"/>
          <w:sz w:val="24"/>
        </w:rPr>
        <w:t>rank</w:t>
      </w:r>
      <w:r w:rsidR="00553C09" w:rsidRPr="004F4090">
        <w:rPr>
          <w:rFonts w:ascii="Arial" w:hAnsi="Arial"/>
          <w:color w:val="000000" w:themeColor="text1"/>
          <w:sz w:val="24"/>
        </w:rPr>
        <w:t xml:space="preserve">ing and on the availability of fund. </w:t>
      </w:r>
    </w:p>
    <w:p w14:paraId="516481F1" w14:textId="77777777" w:rsidR="00B66590" w:rsidRPr="004F4090" w:rsidRDefault="00B66590" w:rsidP="00C63DEE">
      <w:pPr>
        <w:pStyle w:val="ListParagraph"/>
        <w:tabs>
          <w:tab w:val="left" w:pos="567"/>
        </w:tabs>
        <w:spacing w:after="0" w:line="240" w:lineRule="auto"/>
        <w:ind w:left="0"/>
        <w:jc w:val="both"/>
        <w:rPr>
          <w:rFonts w:ascii="Arial" w:hAnsi="Arial"/>
          <w:b/>
          <w:color w:val="000000" w:themeColor="text1"/>
          <w:sz w:val="24"/>
          <w:u w:val="single"/>
        </w:rPr>
      </w:pPr>
    </w:p>
    <w:p w14:paraId="260D594B" w14:textId="24C948BE" w:rsidR="00F132BC" w:rsidRPr="004F4090" w:rsidRDefault="00087548" w:rsidP="00C63DEE">
      <w:pPr>
        <w:pStyle w:val="ListParagraph"/>
        <w:numPr>
          <w:ilvl w:val="0"/>
          <w:numId w:val="7"/>
        </w:numPr>
        <w:tabs>
          <w:tab w:val="left" w:pos="567"/>
        </w:tabs>
        <w:spacing w:after="0" w:line="240" w:lineRule="auto"/>
        <w:ind w:left="0" w:firstLine="0"/>
        <w:jc w:val="both"/>
        <w:rPr>
          <w:rFonts w:ascii="Arial" w:hAnsi="Arial"/>
          <w:b/>
          <w:color w:val="000000" w:themeColor="text1"/>
          <w:sz w:val="24"/>
          <w:u w:val="single"/>
        </w:rPr>
      </w:pPr>
      <w:r w:rsidRPr="004F4090">
        <w:rPr>
          <w:rFonts w:ascii="Arial" w:hAnsi="Arial" w:cs="Arial"/>
          <w:color w:val="000000" w:themeColor="text1"/>
          <w:sz w:val="24"/>
          <w:szCs w:val="24"/>
          <w:lang w:eastAsia="ja-JP"/>
        </w:rPr>
        <w:t>Approved projects at the AKFTA-WGEC level will</w:t>
      </w:r>
      <w:r w:rsidR="007E4558" w:rsidRPr="004F4090">
        <w:rPr>
          <w:rFonts w:ascii="Arial" w:hAnsi="Arial" w:cs="Arial"/>
          <w:color w:val="000000" w:themeColor="text1"/>
          <w:sz w:val="24"/>
          <w:szCs w:val="24"/>
          <w:lang w:eastAsia="ja-JP"/>
        </w:rPr>
        <w:t xml:space="preserve"> be submitted for the AKFTA-</w:t>
      </w:r>
      <w:r w:rsidR="00784A31">
        <w:rPr>
          <w:rFonts w:ascii="Arial" w:hAnsi="Arial" w:cs="Arial"/>
          <w:color w:val="000000" w:themeColor="text1"/>
          <w:sz w:val="24"/>
          <w:szCs w:val="24"/>
          <w:lang w:eastAsia="ja-JP"/>
        </w:rPr>
        <w:t>Implementing Committee</w:t>
      </w:r>
      <w:r w:rsidR="001723E4" w:rsidRPr="004F4090">
        <w:rPr>
          <w:rFonts w:ascii="Arial" w:hAnsi="Arial" w:cs="Arial"/>
          <w:color w:val="000000" w:themeColor="text1"/>
          <w:sz w:val="24"/>
          <w:szCs w:val="24"/>
          <w:lang w:eastAsia="ja-JP"/>
        </w:rPr>
        <w:t xml:space="preserve"> of the AKFTA (AKFTA-</w:t>
      </w:r>
      <w:r w:rsidR="007E4558" w:rsidRPr="004F4090">
        <w:rPr>
          <w:rFonts w:ascii="Arial" w:hAnsi="Arial" w:cs="Arial"/>
          <w:color w:val="000000" w:themeColor="text1"/>
          <w:sz w:val="24"/>
          <w:szCs w:val="24"/>
          <w:lang w:eastAsia="ja-JP"/>
        </w:rPr>
        <w:t>IC</w:t>
      </w:r>
      <w:r w:rsidR="001723E4" w:rsidRPr="004F4090">
        <w:rPr>
          <w:rFonts w:ascii="Arial" w:hAnsi="Arial" w:cs="Arial"/>
          <w:color w:val="000000" w:themeColor="text1"/>
          <w:sz w:val="24"/>
          <w:szCs w:val="24"/>
          <w:lang w:eastAsia="ja-JP"/>
        </w:rPr>
        <w:t>)</w:t>
      </w:r>
      <w:r w:rsidR="007E4558" w:rsidRPr="004F4090">
        <w:rPr>
          <w:rFonts w:ascii="Arial" w:hAnsi="Arial" w:cs="Arial"/>
          <w:color w:val="000000" w:themeColor="text1"/>
          <w:sz w:val="24"/>
          <w:szCs w:val="24"/>
          <w:lang w:eastAsia="ja-JP"/>
        </w:rPr>
        <w:t>’s consideration and final approval</w:t>
      </w:r>
      <w:r w:rsidR="00F132BC" w:rsidRPr="004F4090">
        <w:rPr>
          <w:rFonts w:ascii="Arial" w:hAnsi="Arial" w:cs="Arial"/>
          <w:color w:val="000000" w:themeColor="text1"/>
          <w:sz w:val="24"/>
          <w:szCs w:val="24"/>
          <w:lang w:eastAsia="ja-JP"/>
        </w:rPr>
        <w:t xml:space="preserve">. </w:t>
      </w:r>
      <w:r w:rsidR="00F94F54" w:rsidRPr="004F4090">
        <w:rPr>
          <w:rFonts w:ascii="Arial" w:hAnsi="Arial"/>
          <w:color w:val="000000" w:themeColor="text1"/>
          <w:sz w:val="24"/>
        </w:rPr>
        <w:t>Approval by the AKFTA-WGEC and AKFTA-IC can be done either at meetings, or inter-</w:t>
      </w:r>
      <w:proofErr w:type="spellStart"/>
      <w:r w:rsidR="00F94F54" w:rsidRPr="004F4090">
        <w:rPr>
          <w:rFonts w:ascii="Arial" w:hAnsi="Arial"/>
          <w:color w:val="000000" w:themeColor="text1"/>
          <w:sz w:val="24"/>
        </w:rPr>
        <w:t>sessionally</w:t>
      </w:r>
      <w:proofErr w:type="spellEnd"/>
      <w:r w:rsidR="00F94F54" w:rsidRPr="004F4090">
        <w:rPr>
          <w:rFonts w:ascii="Arial" w:hAnsi="Arial"/>
          <w:color w:val="000000" w:themeColor="text1"/>
          <w:sz w:val="24"/>
        </w:rPr>
        <w:t> through email communication.</w:t>
      </w:r>
    </w:p>
    <w:p w14:paraId="552F637E" w14:textId="77777777" w:rsidR="004E3064" w:rsidRPr="004F4090" w:rsidRDefault="004E3064" w:rsidP="00C63DEE">
      <w:pPr>
        <w:pStyle w:val="ListParagraph"/>
        <w:tabs>
          <w:tab w:val="left" w:pos="567"/>
        </w:tabs>
        <w:spacing w:after="0" w:line="240" w:lineRule="auto"/>
        <w:ind w:left="0"/>
        <w:jc w:val="both"/>
        <w:rPr>
          <w:rFonts w:ascii="Arial" w:hAnsi="Arial"/>
          <w:b/>
          <w:color w:val="000000" w:themeColor="text1"/>
          <w:sz w:val="24"/>
          <w:u w:val="single"/>
        </w:rPr>
      </w:pPr>
    </w:p>
    <w:p w14:paraId="5F15348B" w14:textId="7187DEB9" w:rsidR="004E3064" w:rsidRPr="004F4090" w:rsidRDefault="004E3064" w:rsidP="00C63DEE">
      <w:pPr>
        <w:pStyle w:val="ListParagraph"/>
        <w:numPr>
          <w:ilvl w:val="0"/>
          <w:numId w:val="7"/>
        </w:numPr>
        <w:tabs>
          <w:tab w:val="left" w:pos="567"/>
        </w:tabs>
        <w:spacing w:after="0" w:line="240" w:lineRule="auto"/>
        <w:ind w:left="0" w:firstLine="0"/>
        <w:jc w:val="both"/>
        <w:rPr>
          <w:rFonts w:ascii="Arial" w:hAnsi="Arial"/>
          <w:color w:val="000000" w:themeColor="text1"/>
          <w:sz w:val="24"/>
        </w:rPr>
      </w:pPr>
      <w:r w:rsidRPr="004F4090">
        <w:rPr>
          <w:rFonts w:ascii="Arial" w:hAnsi="Arial"/>
          <w:color w:val="000000" w:themeColor="text1"/>
          <w:sz w:val="24"/>
        </w:rPr>
        <w:t xml:space="preserve">Proponents </w:t>
      </w:r>
      <w:r w:rsidR="009B1B0E" w:rsidRPr="004F4090">
        <w:rPr>
          <w:rFonts w:ascii="Arial" w:hAnsi="Arial"/>
          <w:color w:val="000000" w:themeColor="text1"/>
          <w:sz w:val="24"/>
        </w:rPr>
        <w:t xml:space="preserve">may </w:t>
      </w:r>
      <w:r w:rsidRPr="004F4090">
        <w:rPr>
          <w:rFonts w:ascii="Arial" w:hAnsi="Arial"/>
          <w:color w:val="000000" w:themeColor="text1"/>
          <w:sz w:val="24"/>
        </w:rPr>
        <w:t xml:space="preserve">be requested to revise the proposal at </w:t>
      </w:r>
      <w:r w:rsidR="001723E4" w:rsidRPr="004F4090">
        <w:rPr>
          <w:rFonts w:ascii="Arial" w:hAnsi="Arial"/>
          <w:color w:val="000000" w:themeColor="text1"/>
          <w:sz w:val="24"/>
        </w:rPr>
        <w:t>any</w:t>
      </w:r>
      <w:r w:rsidRPr="004F4090">
        <w:rPr>
          <w:rFonts w:ascii="Arial" w:hAnsi="Arial"/>
          <w:color w:val="000000" w:themeColor="text1"/>
          <w:sz w:val="24"/>
        </w:rPr>
        <w:t xml:space="preserve"> stage of the process. If the proponent does not submit the revised proposal within 14 calendar days </w:t>
      </w:r>
      <w:r w:rsidR="001723E4" w:rsidRPr="004F4090">
        <w:rPr>
          <w:rFonts w:ascii="Arial" w:hAnsi="Arial"/>
          <w:color w:val="000000" w:themeColor="text1"/>
          <w:sz w:val="24"/>
        </w:rPr>
        <w:t>upon</w:t>
      </w:r>
      <w:r w:rsidRPr="004F4090">
        <w:rPr>
          <w:rFonts w:ascii="Arial" w:hAnsi="Arial"/>
          <w:color w:val="000000" w:themeColor="text1"/>
          <w:sz w:val="24"/>
        </w:rPr>
        <w:t xml:space="preserve"> the request, </w:t>
      </w:r>
      <w:r w:rsidR="001723E4" w:rsidRPr="004F4090">
        <w:rPr>
          <w:rFonts w:ascii="Arial" w:hAnsi="Arial"/>
          <w:color w:val="000000" w:themeColor="text1"/>
          <w:sz w:val="24"/>
        </w:rPr>
        <w:t xml:space="preserve">the proposal </w:t>
      </w:r>
      <w:r w:rsidR="000C6627" w:rsidRPr="004F4090">
        <w:rPr>
          <w:rFonts w:ascii="Arial" w:hAnsi="Arial"/>
          <w:color w:val="000000" w:themeColor="text1"/>
          <w:sz w:val="24"/>
        </w:rPr>
        <w:t xml:space="preserve">will be deemed </w:t>
      </w:r>
      <w:r w:rsidR="001723E4" w:rsidRPr="004F4090">
        <w:rPr>
          <w:rFonts w:ascii="Arial" w:hAnsi="Arial"/>
          <w:color w:val="000000" w:themeColor="text1"/>
          <w:sz w:val="24"/>
        </w:rPr>
        <w:t>wi</w:t>
      </w:r>
      <w:r w:rsidR="000C6627" w:rsidRPr="004F4090">
        <w:rPr>
          <w:rFonts w:ascii="Arial" w:hAnsi="Arial"/>
          <w:color w:val="000000" w:themeColor="text1"/>
          <w:sz w:val="24"/>
        </w:rPr>
        <w:t>th</w:t>
      </w:r>
      <w:r w:rsidR="001723E4" w:rsidRPr="004F4090">
        <w:rPr>
          <w:rFonts w:ascii="Arial" w:hAnsi="Arial"/>
          <w:color w:val="000000" w:themeColor="text1"/>
          <w:sz w:val="24"/>
        </w:rPr>
        <w:t>drawn</w:t>
      </w:r>
      <w:r w:rsidRPr="004F4090">
        <w:rPr>
          <w:rFonts w:ascii="Arial" w:hAnsi="Arial"/>
          <w:color w:val="000000" w:themeColor="text1"/>
          <w:sz w:val="24"/>
        </w:rPr>
        <w:t>. Within the period, the proponent can request extension for the maximum of additional 14 calendar days.</w:t>
      </w:r>
    </w:p>
    <w:p w14:paraId="468CE3D6" w14:textId="77777777" w:rsidR="00F132BC" w:rsidRPr="004F4090" w:rsidRDefault="00F132BC" w:rsidP="00C63DEE">
      <w:pPr>
        <w:pStyle w:val="ListParagraph"/>
        <w:spacing w:after="0" w:line="240" w:lineRule="auto"/>
        <w:ind w:left="0"/>
        <w:jc w:val="both"/>
        <w:rPr>
          <w:rFonts w:ascii="Arial" w:hAnsi="Arial"/>
          <w:color w:val="000000" w:themeColor="text1"/>
          <w:sz w:val="24"/>
        </w:rPr>
      </w:pPr>
    </w:p>
    <w:p w14:paraId="73FAFC0C" w14:textId="5A9E074B" w:rsidR="003713D0" w:rsidRPr="004F4090" w:rsidRDefault="00553C09" w:rsidP="00C63DEE">
      <w:pPr>
        <w:tabs>
          <w:tab w:val="left" w:pos="567"/>
        </w:tabs>
        <w:spacing w:after="0" w:line="240" w:lineRule="auto"/>
        <w:jc w:val="both"/>
        <w:rPr>
          <w:rFonts w:ascii="Arial" w:hAnsi="Arial" w:cs="Arial"/>
          <w:b/>
          <w:color w:val="000000" w:themeColor="text1"/>
          <w:sz w:val="24"/>
          <w:szCs w:val="24"/>
          <w:lang w:val="en-US"/>
        </w:rPr>
      </w:pPr>
      <w:r w:rsidRPr="004F4090">
        <w:rPr>
          <w:rFonts w:ascii="Arial" w:eastAsia="PMingLiU" w:hAnsi="Arial" w:cs="Arial"/>
          <w:b/>
          <w:color w:val="000000" w:themeColor="text1"/>
          <w:sz w:val="24"/>
          <w:szCs w:val="24"/>
          <w:lang w:val="en-US"/>
        </w:rPr>
        <w:t xml:space="preserve">IV. </w:t>
      </w:r>
      <w:r w:rsidR="00C63DEE" w:rsidRPr="004F4090">
        <w:rPr>
          <w:rFonts w:ascii="Arial" w:eastAsia="PMingLiU" w:hAnsi="Arial" w:cs="Arial"/>
          <w:b/>
          <w:color w:val="000000" w:themeColor="text1"/>
          <w:sz w:val="24"/>
          <w:szCs w:val="24"/>
          <w:lang w:val="en-US"/>
        </w:rPr>
        <w:tab/>
      </w:r>
      <w:r w:rsidR="008373E8" w:rsidRPr="004F4090">
        <w:rPr>
          <w:rFonts w:ascii="Arial" w:eastAsia="PMingLiU" w:hAnsi="Arial" w:cs="Arial"/>
          <w:b/>
          <w:color w:val="000000" w:themeColor="text1"/>
          <w:sz w:val="24"/>
          <w:szCs w:val="24"/>
          <w:lang w:val="en-US"/>
        </w:rPr>
        <w:t xml:space="preserve">Project </w:t>
      </w:r>
      <w:r w:rsidR="001A0E80" w:rsidRPr="004F4090">
        <w:rPr>
          <w:rFonts w:ascii="Arial" w:hAnsi="Arial" w:cs="Arial"/>
          <w:b/>
          <w:color w:val="000000" w:themeColor="text1"/>
          <w:sz w:val="24"/>
          <w:szCs w:val="24"/>
          <w:lang w:val="en-US"/>
        </w:rPr>
        <w:t>Implementation</w:t>
      </w:r>
      <w:r w:rsidR="00087548" w:rsidRPr="004F4090">
        <w:rPr>
          <w:rFonts w:ascii="Arial" w:hAnsi="Arial" w:cs="Arial"/>
          <w:b/>
          <w:color w:val="000000" w:themeColor="text1"/>
          <w:sz w:val="24"/>
          <w:szCs w:val="24"/>
          <w:lang w:val="en-US"/>
        </w:rPr>
        <w:t xml:space="preserve"> </w:t>
      </w:r>
      <w:r w:rsidR="00087548" w:rsidRPr="004F4090">
        <w:rPr>
          <w:rFonts w:ascii="Arial" w:eastAsia="PMingLiU" w:hAnsi="Arial" w:cs="Arial"/>
          <w:b/>
          <w:color w:val="000000" w:themeColor="text1"/>
          <w:sz w:val="24"/>
          <w:szCs w:val="24"/>
          <w:lang w:val="en-US"/>
        </w:rPr>
        <w:t>and Monitoring</w:t>
      </w:r>
    </w:p>
    <w:p w14:paraId="7EA4400E" w14:textId="77777777" w:rsidR="003713D0" w:rsidRPr="004F4090" w:rsidRDefault="003713D0" w:rsidP="00C63DEE">
      <w:pPr>
        <w:spacing w:after="0" w:line="240" w:lineRule="auto"/>
        <w:jc w:val="both"/>
        <w:rPr>
          <w:rFonts w:ascii="Arial" w:hAnsi="Arial" w:cs="Arial"/>
          <w:color w:val="000000" w:themeColor="text1"/>
          <w:sz w:val="24"/>
          <w:szCs w:val="24"/>
        </w:rPr>
      </w:pPr>
    </w:p>
    <w:p w14:paraId="7E3A6845" w14:textId="53BAB14F" w:rsidR="00FE11E7" w:rsidRPr="004F4090" w:rsidRDefault="00DB65C3"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The P</w:t>
      </w:r>
      <w:r w:rsidR="00BB2DF8" w:rsidRPr="004F4090">
        <w:rPr>
          <w:rFonts w:ascii="Arial" w:hAnsi="Arial" w:cs="Arial"/>
          <w:color w:val="000000" w:themeColor="text1"/>
          <w:sz w:val="24"/>
          <w:szCs w:val="24"/>
          <w:lang w:eastAsia="ja-JP"/>
        </w:rPr>
        <w:t>roponent</w:t>
      </w:r>
      <w:r w:rsidR="00BB2DF8" w:rsidRPr="004F4090">
        <w:rPr>
          <w:rFonts w:ascii="Arial" w:hAnsi="Arial" w:cs="Arial"/>
          <w:color w:val="000000" w:themeColor="text1"/>
          <w:sz w:val="24"/>
          <w:szCs w:val="24"/>
        </w:rPr>
        <w:t xml:space="preserve"> </w:t>
      </w:r>
      <w:r w:rsidR="002971DE" w:rsidRPr="004F4090">
        <w:rPr>
          <w:rFonts w:ascii="Arial" w:hAnsi="Arial" w:cs="Arial"/>
          <w:color w:val="000000" w:themeColor="text1"/>
          <w:sz w:val="24"/>
          <w:szCs w:val="24"/>
        </w:rPr>
        <w:t>will</w:t>
      </w:r>
      <w:r w:rsidR="00FE11E7" w:rsidRPr="004F4090">
        <w:rPr>
          <w:rFonts w:ascii="Arial" w:hAnsi="Arial" w:cs="Arial"/>
          <w:color w:val="000000" w:themeColor="text1"/>
          <w:sz w:val="24"/>
          <w:szCs w:val="24"/>
        </w:rPr>
        <w:t xml:space="preserve"> </w:t>
      </w:r>
      <w:r w:rsidR="00FE11E7" w:rsidRPr="004F4090">
        <w:rPr>
          <w:rFonts w:ascii="Arial" w:hAnsi="Arial" w:cs="Arial"/>
          <w:color w:val="000000" w:themeColor="text1"/>
          <w:sz w:val="24"/>
          <w:szCs w:val="24"/>
          <w:lang w:eastAsia="ja-JP"/>
        </w:rPr>
        <w:t>confirm</w:t>
      </w:r>
      <w:r w:rsidR="00BB2DF8" w:rsidRPr="004F4090">
        <w:rPr>
          <w:rFonts w:ascii="Arial" w:hAnsi="Arial" w:cs="Arial"/>
          <w:color w:val="000000" w:themeColor="text1"/>
          <w:sz w:val="24"/>
          <w:szCs w:val="24"/>
        </w:rPr>
        <w:t xml:space="preserve"> </w:t>
      </w:r>
      <w:r w:rsidR="00FE11E7" w:rsidRPr="004F4090">
        <w:rPr>
          <w:rFonts w:ascii="Arial" w:hAnsi="Arial" w:cs="Arial"/>
          <w:color w:val="000000" w:themeColor="text1"/>
          <w:sz w:val="24"/>
          <w:szCs w:val="24"/>
        </w:rPr>
        <w:t xml:space="preserve">the </w:t>
      </w:r>
      <w:r w:rsidR="00FE11E7" w:rsidRPr="004F4090">
        <w:rPr>
          <w:rFonts w:ascii="Arial" w:hAnsi="Arial" w:cs="Arial"/>
          <w:color w:val="000000" w:themeColor="text1"/>
          <w:sz w:val="24"/>
          <w:szCs w:val="24"/>
          <w:lang w:eastAsia="ja-JP"/>
        </w:rPr>
        <w:t>actual start date of</w:t>
      </w:r>
      <w:r w:rsidR="008373E8" w:rsidRPr="004F4090">
        <w:rPr>
          <w:rFonts w:ascii="Arial" w:hAnsi="Arial" w:cs="Arial"/>
          <w:color w:val="000000" w:themeColor="text1"/>
          <w:sz w:val="24"/>
          <w:szCs w:val="24"/>
          <w:lang w:eastAsia="ja-JP"/>
        </w:rPr>
        <w:t xml:space="preserve"> the</w:t>
      </w:r>
      <w:r w:rsidR="00FE11E7" w:rsidRPr="004F4090">
        <w:rPr>
          <w:rFonts w:ascii="Arial" w:hAnsi="Arial" w:cs="Arial"/>
          <w:color w:val="000000" w:themeColor="text1"/>
          <w:sz w:val="24"/>
          <w:szCs w:val="24"/>
          <w:lang w:eastAsia="ja-JP"/>
        </w:rPr>
        <w:t xml:space="preserve"> project </w:t>
      </w:r>
      <w:r w:rsidR="008373E8" w:rsidRPr="004F4090">
        <w:rPr>
          <w:rFonts w:ascii="Arial" w:hAnsi="Arial" w:cs="Arial"/>
          <w:color w:val="000000" w:themeColor="text1"/>
          <w:sz w:val="24"/>
          <w:szCs w:val="24"/>
          <w:lang w:eastAsia="ja-JP"/>
        </w:rPr>
        <w:t xml:space="preserve">and update the </w:t>
      </w:r>
      <w:r w:rsidR="008373E8" w:rsidRPr="004F4090">
        <w:rPr>
          <w:rFonts w:ascii="Arial" w:hAnsi="Arial" w:cs="Arial"/>
          <w:color w:val="000000" w:themeColor="text1"/>
          <w:sz w:val="24"/>
          <w:szCs w:val="24"/>
        </w:rPr>
        <w:t xml:space="preserve">implementation </w:t>
      </w:r>
      <w:r w:rsidR="00FE2EC6" w:rsidRPr="004F4090">
        <w:rPr>
          <w:rFonts w:ascii="Arial" w:hAnsi="Arial" w:cs="Arial"/>
          <w:color w:val="000000" w:themeColor="text1"/>
          <w:sz w:val="24"/>
          <w:szCs w:val="24"/>
          <w:lang w:eastAsia="ja-JP"/>
        </w:rPr>
        <w:t xml:space="preserve">plan </w:t>
      </w:r>
      <w:r w:rsidR="008373E8" w:rsidRPr="004F4090">
        <w:rPr>
          <w:rFonts w:ascii="Arial" w:hAnsi="Arial" w:cs="Arial"/>
          <w:color w:val="000000" w:themeColor="text1"/>
          <w:sz w:val="24"/>
          <w:szCs w:val="24"/>
          <w:lang w:eastAsia="ja-JP"/>
        </w:rPr>
        <w:t>with</w:t>
      </w:r>
      <w:r w:rsidR="008373E8" w:rsidRPr="004F4090">
        <w:rPr>
          <w:rFonts w:ascii="Arial" w:hAnsi="Arial" w:cs="Arial"/>
          <w:color w:val="000000" w:themeColor="text1"/>
          <w:sz w:val="24"/>
          <w:szCs w:val="24"/>
        </w:rPr>
        <w:t xml:space="preserve"> the </w:t>
      </w:r>
      <w:r w:rsidR="000C6627" w:rsidRPr="004F4090">
        <w:rPr>
          <w:rFonts w:ascii="Arial" w:hAnsi="Arial" w:cs="Arial"/>
          <w:color w:val="000000" w:themeColor="text1"/>
          <w:sz w:val="24"/>
          <w:szCs w:val="24"/>
        </w:rPr>
        <w:t>ASEC</w:t>
      </w:r>
      <w:r w:rsidR="008373E8" w:rsidRPr="004F4090">
        <w:rPr>
          <w:rFonts w:ascii="Arial" w:hAnsi="Arial" w:cs="Arial"/>
          <w:color w:val="000000" w:themeColor="text1"/>
          <w:sz w:val="24"/>
          <w:szCs w:val="24"/>
          <w:lang w:eastAsia="ja-JP"/>
        </w:rPr>
        <w:t xml:space="preserve">. </w:t>
      </w:r>
    </w:p>
    <w:p w14:paraId="21BF23C4" w14:textId="77777777" w:rsidR="00FE11E7" w:rsidRPr="004F4090" w:rsidRDefault="00FE11E7" w:rsidP="00C63DEE">
      <w:pPr>
        <w:pStyle w:val="ListParagraph"/>
        <w:tabs>
          <w:tab w:val="left" w:pos="567"/>
        </w:tabs>
        <w:spacing w:after="0" w:line="240" w:lineRule="auto"/>
        <w:ind w:left="0"/>
        <w:jc w:val="both"/>
        <w:rPr>
          <w:rFonts w:ascii="Arial" w:hAnsi="Arial" w:cs="Arial"/>
          <w:color w:val="000000" w:themeColor="text1"/>
          <w:sz w:val="24"/>
          <w:szCs w:val="24"/>
        </w:rPr>
      </w:pPr>
    </w:p>
    <w:p w14:paraId="3CCBE40E" w14:textId="7F6E976A" w:rsidR="00FE11E7" w:rsidRPr="004F4090" w:rsidRDefault="001927D5"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lang w:eastAsia="ja-JP"/>
        </w:rPr>
      </w:pPr>
      <w:r w:rsidRPr="004F4090">
        <w:rPr>
          <w:rFonts w:ascii="Arial" w:hAnsi="Arial" w:cs="Arial"/>
          <w:color w:val="000000" w:themeColor="text1"/>
          <w:sz w:val="24"/>
          <w:szCs w:val="24"/>
          <w:lang w:eastAsia="ja-JP"/>
        </w:rPr>
        <w:t>The disbursement of funding for an A</w:t>
      </w:r>
      <w:r w:rsidR="00A16D77" w:rsidRPr="004F4090">
        <w:rPr>
          <w:rFonts w:ascii="Arial" w:hAnsi="Arial" w:cs="Arial"/>
          <w:color w:val="000000" w:themeColor="text1"/>
          <w:sz w:val="24"/>
          <w:szCs w:val="24"/>
          <w:lang w:eastAsia="ja-JP"/>
        </w:rPr>
        <w:t>KFTA</w:t>
      </w:r>
      <w:r w:rsidRPr="004F4090">
        <w:rPr>
          <w:rFonts w:ascii="Arial" w:hAnsi="Arial" w:cs="Arial"/>
          <w:color w:val="000000" w:themeColor="text1"/>
          <w:sz w:val="24"/>
          <w:szCs w:val="24"/>
          <w:lang w:eastAsia="ja-JP"/>
        </w:rPr>
        <w:t xml:space="preserve"> project </w:t>
      </w:r>
      <w:r w:rsidR="00FE11E7" w:rsidRPr="004F4090">
        <w:rPr>
          <w:rFonts w:ascii="Arial" w:hAnsi="Arial" w:cs="Arial"/>
          <w:color w:val="000000" w:themeColor="text1"/>
          <w:sz w:val="24"/>
          <w:szCs w:val="24"/>
          <w:lang w:eastAsia="ja-JP"/>
        </w:rPr>
        <w:t xml:space="preserve">should be aligned with the </w:t>
      </w:r>
      <w:r w:rsidR="00FE11E7" w:rsidRPr="004F4090">
        <w:rPr>
          <w:rFonts w:ascii="Arial" w:hAnsi="Arial" w:cs="Arial"/>
          <w:color w:val="000000" w:themeColor="text1"/>
          <w:sz w:val="24"/>
          <w:szCs w:val="24"/>
        </w:rPr>
        <w:t xml:space="preserve">Standard Operating Procedure </w:t>
      </w:r>
      <w:r w:rsidR="00FE11E7" w:rsidRPr="004F4090">
        <w:rPr>
          <w:rFonts w:ascii="Arial" w:hAnsi="Arial" w:cs="Arial"/>
          <w:color w:val="000000" w:themeColor="text1"/>
          <w:sz w:val="24"/>
          <w:szCs w:val="24"/>
          <w:lang w:eastAsia="ja-JP"/>
        </w:rPr>
        <w:t xml:space="preserve">on Project Financial Disbursement and Reporting (“PFDR”), which appears as </w:t>
      </w:r>
      <w:r w:rsidR="005A35C7" w:rsidRPr="004F4090">
        <w:rPr>
          <w:rFonts w:ascii="Arial" w:hAnsi="Arial" w:cs="Arial"/>
          <w:b/>
          <w:color w:val="000000" w:themeColor="text1"/>
          <w:sz w:val="24"/>
          <w:szCs w:val="24"/>
          <w:u w:val="single"/>
          <w:lang w:eastAsia="ja-JP"/>
        </w:rPr>
        <w:t>APPENDIX 4</w:t>
      </w:r>
      <w:r w:rsidR="00FE11E7" w:rsidRPr="004F4090">
        <w:rPr>
          <w:rFonts w:ascii="Arial" w:hAnsi="Arial" w:cs="Arial"/>
          <w:color w:val="000000" w:themeColor="text1"/>
          <w:sz w:val="24"/>
          <w:szCs w:val="24"/>
          <w:lang w:eastAsia="ja-JP"/>
        </w:rPr>
        <w:t xml:space="preserve">. </w:t>
      </w:r>
      <w:r w:rsidRPr="004F4090">
        <w:rPr>
          <w:rFonts w:ascii="Arial" w:hAnsi="Arial" w:cs="Arial"/>
          <w:color w:val="000000" w:themeColor="text1"/>
          <w:sz w:val="24"/>
          <w:szCs w:val="24"/>
          <w:lang w:eastAsia="ja-JP"/>
        </w:rPr>
        <w:t xml:space="preserve">However, prior </w:t>
      </w:r>
      <w:r w:rsidR="00FE2EC6" w:rsidRPr="004F4090">
        <w:rPr>
          <w:rFonts w:ascii="Arial" w:hAnsi="Arial" w:cs="Arial"/>
          <w:color w:val="000000" w:themeColor="text1"/>
          <w:sz w:val="24"/>
          <w:szCs w:val="24"/>
          <w:lang w:eastAsia="ja-JP"/>
        </w:rPr>
        <w:t xml:space="preserve">to </w:t>
      </w:r>
      <w:r w:rsidRPr="004F4090">
        <w:rPr>
          <w:rFonts w:ascii="Arial" w:hAnsi="Arial" w:cs="Arial"/>
          <w:color w:val="000000" w:themeColor="text1"/>
          <w:sz w:val="24"/>
          <w:szCs w:val="24"/>
          <w:lang w:eastAsia="ja-JP"/>
        </w:rPr>
        <w:t xml:space="preserve">the disbursement, ASEC will request for a letter authorizing the payment of the approved amount from the Korean Ministry of Foreign Affairs. </w:t>
      </w:r>
    </w:p>
    <w:p w14:paraId="74F8BC5B" w14:textId="77777777" w:rsidR="00FE11E7" w:rsidRPr="004F4090" w:rsidRDefault="00FE11E7" w:rsidP="00C63DEE">
      <w:pPr>
        <w:pStyle w:val="ListParagraph"/>
        <w:tabs>
          <w:tab w:val="left" w:pos="567"/>
        </w:tabs>
        <w:spacing w:after="0" w:line="240" w:lineRule="auto"/>
        <w:ind w:left="0"/>
        <w:jc w:val="both"/>
        <w:rPr>
          <w:rFonts w:ascii="Arial" w:hAnsi="Arial" w:cs="Arial"/>
          <w:color w:val="000000" w:themeColor="text1"/>
          <w:sz w:val="24"/>
          <w:szCs w:val="24"/>
          <w:lang w:eastAsia="ja-JP"/>
        </w:rPr>
      </w:pPr>
    </w:p>
    <w:p w14:paraId="055EF602" w14:textId="7F9E2BD1" w:rsidR="00D73608" w:rsidRPr="004F4090" w:rsidRDefault="003713D0"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 xml:space="preserve">Implementation of </w:t>
      </w:r>
      <w:r w:rsidR="00784A31">
        <w:rPr>
          <w:rFonts w:ascii="Arial" w:hAnsi="Arial" w:cs="Arial"/>
          <w:color w:val="000000" w:themeColor="text1"/>
          <w:sz w:val="24"/>
          <w:szCs w:val="24"/>
        </w:rPr>
        <w:t xml:space="preserve">an AKFTA </w:t>
      </w:r>
      <w:r w:rsidR="000C6627" w:rsidRPr="004F4090">
        <w:rPr>
          <w:rFonts w:ascii="Arial" w:hAnsi="Arial" w:cs="Arial"/>
          <w:color w:val="000000" w:themeColor="text1"/>
          <w:sz w:val="24"/>
          <w:szCs w:val="24"/>
        </w:rPr>
        <w:t>P</w:t>
      </w:r>
      <w:r w:rsidRPr="004F4090">
        <w:rPr>
          <w:rFonts w:ascii="Arial" w:hAnsi="Arial" w:cs="Arial"/>
          <w:color w:val="000000" w:themeColor="text1"/>
          <w:sz w:val="24"/>
          <w:szCs w:val="24"/>
        </w:rPr>
        <w:t xml:space="preserve">roject </w:t>
      </w:r>
      <w:r w:rsidR="002971DE" w:rsidRPr="004F4090">
        <w:rPr>
          <w:rFonts w:ascii="Arial" w:hAnsi="Arial" w:cs="Arial"/>
          <w:color w:val="000000" w:themeColor="text1"/>
          <w:sz w:val="24"/>
          <w:szCs w:val="24"/>
        </w:rPr>
        <w:t>will</w:t>
      </w:r>
      <w:r w:rsidRPr="004F4090">
        <w:rPr>
          <w:rFonts w:ascii="Arial" w:hAnsi="Arial" w:cs="Arial"/>
          <w:color w:val="000000" w:themeColor="text1"/>
          <w:sz w:val="24"/>
          <w:szCs w:val="24"/>
        </w:rPr>
        <w:t xml:space="preserve"> start within </w:t>
      </w:r>
      <w:r w:rsidR="004A6105" w:rsidRPr="004F4090">
        <w:rPr>
          <w:rFonts w:ascii="Arial" w:hAnsi="Arial" w:cs="Arial"/>
          <w:color w:val="000000" w:themeColor="text1"/>
          <w:sz w:val="24"/>
          <w:szCs w:val="24"/>
          <w:lang w:eastAsia="ja-JP"/>
        </w:rPr>
        <w:t>the</w:t>
      </w:r>
      <w:r w:rsidR="00FE2EC6" w:rsidRPr="004F4090">
        <w:rPr>
          <w:rFonts w:ascii="Arial" w:hAnsi="Arial" w:cs="Arial"/>
          <w:color w:val="000000" w:themeColor="text1"/>
          <w:sz w:val="24"/>
          <w:szCs w:val="24"/>
          <w:lang w:eastAsia="ja-JP"/>
        </w:rPr>
        <w:t xml:space="preserve"> approved</w:t>
      </w:r>
      <w:r w:rsidR="004A6105" w:rsidRPr="004F4090">
        <w:rPr>
          <w:rFonts w:ascii="Arial" w:hAnsi="Arial" w:cs="Arial"/>
          <w:color w:val="000000" w:themeColor="text1"/>
          <w:sz w:val="24"/>
          <w:szCs w:val="24"/>
          <w:lang w:eastAsia="ja-JP"/>
        </w:rPr>
        <w:t xml:space="preserve"> timeframe</w:t>
      </w:r>
      <w:r w:rsidR="00D93A82" w:rsidRPr="004F4090">
        <w:rPr>
          <w:rFonts w:ascii="Arial" w:hAnsi="Arial" w:cs="Arial"/>
          <w:color w:val="000000" w:themeColor="text1"/>
          <w:sz w:val="24"/>
          <w:szCs w:val="24"/>
          <w:lang w:eastAsia="ja-JP"/>
        </w:rPr>
        <w:t>.</w:t>
      </w:r>
      <w:r w:rsidR="00D93A82" w:rsidRPr="004F4090">
        <w:rPr>
          <w:rFonts w:ascii="Arial" w:hAnsi="Arial" w:cs="Arial"/>
          <w:color w:val="000000" w:themeColor="text1"/>
          <w:sz w:val="24"/>
          <w:szCs w:val="24"/>
        </w:rPr>
        <w:t xml:space="preserve"> If </w:t>
      </w:r>
      <w:r w:rsidRPr="004F4090">
        <w:rPr>
          <w:rFonts w:ascii="Arial" w:hAnsi="Arial" w:cs="Arial"/>
          <w:color w:val="000000" w:themeColor="text1"/>
          <w:sz w:val="24"/>
          <w:szCs w:val="24"/>
        </w:rPr>
        <w:t>the implementation</w:t>
      </w:r>
      <w:r w:rsidRPr="004F4090">
        <w:rPr>
          <w:rFonts w:ascii="Arial" w:hAnsi="Arial" w:cs="Arial"/>
          <w:color w:val="000000" w:themeColor="text1"/>
          <w:sz w:val="24"/>
          <w:szCs w:val="24"/>
          <w:lang w:eastAsia="ja-JP"/>
        </w:rPr>
        <w:t xml:space="preserve"> </w:t>
      </w:r>
      <w:r w:rsidR="00D93A82" w:rsidRPr="004F4090">
        <w:rPr>
          <w:rFonts w:ascii="Arial" w:hAnsi="Arial" w:cs="Arial"/>
          <w:color w:val="000000" w:themeColor="text1"/>
          <w:sz w:val="24"/>
          <w:szCs w:val="24"/>
          <w:lang w:eastAsia="ja-JP"/>
        </w:rPr>
        <w:t>of the project’s approved timelines</w:t>
      </w:r>
      <w:r w:rsidR="00D93A82" w:rsidRPr="004F4090">
        <w:rPr>
          <w:rFonts w:ascii="Arial" w:hAnsi="Arial" w:cs="Arial"/>
          <w:color w:val="000000" w:themeColor="text1"/>
          <w:sz w:val="24"/>
          <w:szCs w:val="24"/>
        </w:rPr>
        <w:t xml:space="preserve"> </w:t>
      </w:r>
      <w:r w:rsidRPr="004F4090">
        <w:rPr>
          <w:rFonts w:ascii="Arial" w:hAnsi="Arial" w:cs="Arial"/>
          <w:color w:val="000000" w:themeColor="text1"/>
          <w:sz w:val="24"/>
          <w:szCs w:val="24"/>
        </w:rPr>
        <w:t>is delayed, the project proponent is required to submit a justified explanation for the delay and provide the new implementation date within 6 months since the date of implementation of the approved activity as mentioned in the project proposal. The proponents may extend the project for 12 months after the notification.</w:t>
      </w:r>
      <w:r w:rsidR="00BB2DF8" w:rsidRPr="004F4090">
        <w:rPr>
          <w:rFonts w:ascii="Arial" w:hAnsi="Arial" w:cs="Arial"/>
          <w:color w:val="000000" w:themeColor="text1"/>
          <w:sz w:val="24"/>
          <w:szCs w:val="24"/>
        </w:rPr>
        <w:t xml:space="preserve"> </w:t>
      </w:r>
      <w:r w:rsidRPr="004F4090">
        <w:rPr>
          <w:rFonts w:ascii="Arial" w:hAnsi="Arial" w:cs="Arial"/>
          <w:color w:val="000000" w:themeColor="text1"/>
          <w:sz w:val="24"/>
          <w:szCs w:val="24"/>
        </w:rPr>
        <w:t xml:space="preserve">The funding allocation for the project </w:t>
      </w:r>
      <w:r w:rsidR="002971DE" w:rsidRPr="004F4090">
        <w:rPr>
          <w:rFonts w:ascii="Arial" w:hAnsi="Arial" w:cs="Arial"/>
          <w:color w:val="000000" w:themeColor="text1"/>
          <w:sz w:val="24"/>
          <w:szCs w:val="24"/>
        </w:rPr>
        <w:t>will</w:t>
      </w:r>
      <w:r w:rsidRPr="004F4090">
        <w:rPr>
          <w:rFonts w:ascii="Arial" w:hAnsi="Arial" w:cs="Arial"/>
          <w:color w:val="000000" w:themeColor="text1"/>
          <w:sz w:val="24"/>
          <w:szCs w:val="24"/>
        </w:rPr>
        <w:t xml:space="preserve"> be withdrawn if the project prop</w:t>
      </w:r>
      <w:r w:rsidR="00BB2DF8" w:rsidRPr="004F4090">
        <w:rPr>
          <w:rFonts w:ascii="Arial" w:hAnsi="Arial" w:cs="Arial"/>
          <w:color w:val="000000" w:themeColor="text1"/>
          <w:sz w:val="24"/>
          <w:szCs w:val="24"/>
        </w:rPr>
        <w:t xml:space="preserve">osal is not implemented within </w:t>
      </w:r>
      <w:r w:rsidR="00BB2DF8" w:rsidRPr="004F4090">
        <w:rPr>
          <w:rFonts w:ascii="Arial" w:hAnsi="Arial" w:cs="Arial"/>
          <w:color w:val="000000" w:themeColor="text1"/>
          <w:sz w:val="24"/>
          <w:szCs w:val="24"/>
          <w:lang w:eastAsia="ja-JP"/>
        </w:rPr>
        <w:t>6 month</w:t>
      </w:r>
      <w:r w:rsidR="006511E7" w:rsidRPr="004F4090">
        <w:rPr>
          <w:rFonts w:ascii="Arial" w:hAnsi="Arial" w:cs="Arial"/>
          <w:color w:val="000000" w:themeColor="text1"/>
          <w:sz w:val="24"/>
          <w:szCs w:val="24"/>
          <w:lang w:eastAsia="ja-JP"/>
        </w:rPr>
        <w:t>s</w:t>
      </w:r>
      <w:r w:rsidR="00BB2DF8" w:rsidRPr="004F4090">
        <w:rPr>
          <w:rFonts w:ascii="Arial" w:hAnsi="Arial" w:cs="Arial"/>
          <w:color w:val="000000" w:themeColor="text1"/>
          <w:sz w:val="24"/>
          <w:szCs w:val="24"/>
          <w:lang w:eastAsia="ja-JP"/>
        </w:rPr>
        <w:t xml:space="preserve"> since the revised date for implementation. </w:t>
      </w:r>
      <w:r w:rsidRPr="004F4090">
        <w:rPr>
          <w:rFonts w:ascii="Arial" w:hAnsi="Arial" w:cs="Arial"/>
          <w:color w:val="000000" w:themeColor="text1"/>
          <w:sz w:val="24"/>
          <w:szCs w:val="24"/>
        </w:rPr>
        <w:t xml:space="preserve"> </w:t>
      </w:r>
    </w:p>
    <w:p w14:paraId="27106373" w14:textId="77777777" w:rsidR="00FE11E7" w:rsidRPr="004F4090" w:rsidRDefault="00FE11E7" w:rsidP="00C63DEE">
      <w:pPr>
        <w:pStyle w:val="ListParagraph"/>
        <w:tabs>
          <w:tab w:val="left" w:pos="567"/>
        </w:tabs>
        <w:spacing w:after="0" w:line="240" w:lineRule="auto"/>
        <w:ind w:left="0"/>
        <w:jc w:val="both"/>
        <w:rPr>
          <w:rFonts w:ascii="Arial" w:hAnsi="Arial" w:cs="Arial"/>
          <w:color w:val="000000" w:themeColor="text1"/>
          <w:sz w:val="24"/>
          <w:szCs w:val="24"/>
        </w:rPr>
      </w:pPr>
    </w:p>
    <w:p w14:paraId="3AC3F983" w14:textId="45B516C5" w:rsidR="003713D0" w:rsidRPr="004F4090" w:rsidRDefault="00DB65C3"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lastRenderedPageBreak/>
        <w:t>P</w:t>
      </w:r>
      <w:r w:rsidR="003713D0" w:rsidRPr="004F4090">
        <w:rPr>
          <w:rFonts w:ascii="Arial" w:hAnsi="Arial" w:cs="Arial"/>
          <w:color w:val="000000" w:themeColor="text1"/>
          <w:sz w:val="24"/>
          <w:szCs w:val="24"/>
        </w:rPr>
        <w:t xml:space="preserve">roponents or implementing agencies must </w:t>
      </w:r>
      <w:r w:rsidR="00ED55E2" w:rsidRPr="004F4090">
        <w:rPr>
          <w:rFonts w:ascii="Arial" w:hAnsi="Arial" w:cs="Arial"/>
          <w:color w:val="000000" w:themeColor="text1"/>
          <w:sz w:val="24"/>
          <w:szCs w:val="24"/>
          <w:lang w:eastAsia="ja-JP"/>
        </w:rPr>
        <w:t>notify the</w:t>
      </w:r>
      <w:r w:rsidR="006511E7" w:rsidRPr="004F4090">
        <w:rPr>
          <w:rFonts w:ascii="Arial" w:hAnsi="Arial" w:cs="Arial"/>
          <w:color w:val="000000" w:themeColor="text1"/>
          <w:sz w:val="24"/>
          <w:szCs w:val="24"/>
          <w:lang w:eastAsia="ja-JP"/>
        </w:rPr>
        <w:t xml:space="preserve"> </w:t>
      </w:r>
      <w:r w:rsidR="006511E7" w:rsidRPr="004F4090">
        <w:rPr>
          <w:rFonts w:ascii="Arial" w:hAnsi="Arial" w:cs="Arial"/>
          <w:color w:val="000000" w:themeColor="text1"/>
          <w:sz w:val="24"/>
          <w:szCs w:val="24"/>
        </w:rPr>
        <w:t>focal points</w:t>
      </w:r>
      <w:r w:rsidR="00ED55E2" w:rsidRPr="004F4090">
        <w:rPr>
          <w:rFonts w:ascii="Arial" w:hAnsi="Arial" w:cs="Arial"/>
          <w:color w:val="000000" w:themeColor="text1"/>
          <w:sz w:val="24"/>
          <w:szCs w:val="24"/>
        </w:rPr>
        <w:t xml:space="preserve"> </w:t>
      </w:r>
      <w:r w:rsidR="00ED55E2" w:rsidRPr="004F4090">
        <w:rPr>
          <w:rFonts w:ascii="Arial" w:hAnsi="Arial" w:cs="Arial"/>
          <w:color w:val="000000" w:themeColor="text1"/>
          <w:sz w:val="24"/>
          <w:szCs w:val="24"/>
          <w:lang w:eastAsia="ja-JP"/>
        </w:rPr>
        <w:t>and</w:t>
      </w:r>
      <w:r w:rsidR="00ED55E2" w:rsidRPr="004F4090">
        <w:rPr>
          <w:rFonts w:ascii="Arial" w:hAnsi="Arial" w:cs="Arial"/>
          <w:color w:val="000000" w:themeColor="text1"/>
          <w:sz w:val="24"/>
          <w:szCs w:val="24"/>
        </w:rPr>
        <w:t xml:space="preserve"> the </w:t>
      </w:r>
      <w:r w:rsidR="000C6627" w:rsidRPr="004F4090">
        <w:rPr>
          <w:rFonts w:ascii="Arial" w:hAnsi="Arial" w:cs="Arial"/>
          <w:color w:val="000000" w:themeColor="text1"/>
          <w:sz w:val="24"/>
          <w:szCs w:val="24"/>
        </w:rPr>
        <w:t>ASEC</w:t>
      </w:r>
      <w:r w:rsidR="00ED55E2" w:rsidRPr="004F4090">
        <w:rPr>
          <w:rFonts w:ascii="Arial" w:hAnsi="Arial" w:cs="Arial"/>
          <w:color w:val="000000" w:themeColor="text1"/>
          <w:sz w:val="24"/>
          <w:szCs w:val="24"/>
          <w:lang w:eastAsia="ja-JP"/>
        </w:rPr>
        <w:t>, at least one month in advance, on the actual dates and details o</w:t>
      </w:r>
      <w:r w:rsidR="004F4090" w:rsidRPr="004F4090">
        <w:rPr>
          <w:rFonts w:ascii="Arial" w:hAnsi="Arial" w:cs="Arial"/>
          <w:color w:val="000000" w:themeColor="text1"/>
          <w:sz w:val="24"/>
          <w:szCs w:val="24"/>
          <w:lang w:eastAsia="ja-JP"/>
        </w:rPr>
        <w:t>f activities and participation.</w:t>
      </w:r>
    </w:p>
    <w:p w14:paraId="0B47DC0D" w14:textId="77777777" w:rsidR="00D73608" w:rsidRPr="004F4090" w:rsidRDefault="00D73608" w:rsidP="00C63DEE">
      <w:pPr>
        <w:pStyle w:val="ListParagraph"/>
        <w:tabs>
          <w:tab w:val="left" w:pos="567"/>
        </w:tabs>
        <w:spacing w:after="0" w:line="240" w:lineRule="auto"/>
        <w:ind w:left="0"/>
        <w:jc w:val="both"/>
        <w:rPr>
          <w:rFonts w:ascii="Arial" w:hAnsi="Arial" w:cs="Arial"/>
          <w:color w:val="000000" w:themeColor="text1"/>
          <w:sz w:val="24"/>
          <w:szCs w:val="24"/>
        </w:rPr>
      </w:pPr>
    </w:p>
    <w:p w14:paraId="5ED1A0CF" w14:textId="1F168533" w:rsidR="00D73608" w:rsidRPr="004F4090" w:rsidRDefault="00DB65C3"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Pr>
          <w:rFonts w:ascii="Arial" w:hAnsi="Arial" w:cs="Arial"/>
          <w:color w:val="000000" w:themeColor="text1"/>
          <w:sz w:val="24"/>
          <w:szCs w:val="24"/>
        </w:rPr>
        <w:t>P</w:t>
      </w:r>
      <w:r w:rsidR="00D73608" w:rsidRPr="004F4090">
        <w:rPr>
          <w:rFonts w:ascii="Arial" w:hAnsi="Arial" w:cs="Arial"/>
          <w:color w:val="000000" w:themeColor="text1"/>
          <w:sz w:val="24"/>
          <w:szCs w:val="24"/>
        </w:rPr>
        <w:t xml:space="preserve">roponents will seek </w:t>
      </w:r>
      <w:r w:rsidR="00A16D77" w:rsidRPr="004F4090">
        <w:rPr>
          <w:rFonts w:ascii="Arial" w:hAnsi="Arial" w:cs="Arial"/>
          <w:color w:val="000000" w:themeColor="text1"/>
          <w:sz w:val="24"/>
          <w:szCs w:val="24"/>
          <w:lang w:eastAsia="ja-JP"/>
        </w:rPr>
        <w:t>approval</w:t>
      </w:r>
      <w:r w:rsidR="00A16D77" w:rsidRPr="004F4090">
        <w:rPr>
          <w:rFonts w:ascii="Arial" w:hAnsi="Arial" w:cs="Arial"/>
          <w:color w:val="000000" w:themeColor="text1"/>
          <w:sz w:val="24"/>
          <w:szCs w:val="24"/>
        </w:rPr>
        <w:t xml:space="preserve"> </w:t>
      </w:r>
      <w:r w:rsidR="00D73608" w:rsidRPr="004F4090">
        <w:rPr>
          <w:rFonts w:ascii="Arial" w:hAnsi="Arial" w:cs="Arial"/>
          <w:color w:val="000000" w:themeColor="text1"/>
          <w:sz w:val="24"/>
          <w:szCs w:val="24"/>
        </w:rPr>
        <w:t xml:space="preserve">from </w:t>
      </w:r>
      <w:r w:rsidR="00D73608" w:rsidRPr="004F4090">
        <w:rPr>
          <w:rFonts w:ascii="Arial" w:hAnsi="Arial" w:cs="Arial"/>
          <w:color w:val="000000" w:themeColor="text1"/>
          <w:sz w:val="24"/>
          <w:szCs w:val="24"/>
          <w:lang w:eastAsia="ja-JP"/>
        </w:rPr>
        <w:t>AKFTA-</w:t>
      </w:r>
      <w:r w:rsidR="00D73608" w:rsidRPr="004F4090">
        <w:rPr>
          <w:rFonts w:ascii="Arial" w:hAnsi="Arial" w:cs="Arial"/>
          <w:color w:val="000000" w:themeColor="text1"/>
          <w:sz w:val="24"/>
          <w:szCs w:val="24"/>
        </w:rPr>
        <w:t xml:space="preserve">WGEC through the </w:t>
      </w:r>
      <w:r w:rsidR="000C6627" w:rsidRPr="004F4090">
        <w:rPr>
          <w:rFonts w:ascii="Arial" w:hAnsi="Arial" w:cs="Arial"/>
          <w:color w:val="000000" w:themeColor="text1"/>
          <w:sz w:val="24"/>
          <w:szCs w:val="24"/>
        </w:rPr>
        <w:t xml:space="preserve">ASEC </w:t>
      </w:r>
      <w:r w:rsidR="00D73608" w:rsidRPr="004F4090">
        <w:rPr>
          <w:rFonts w:ascii="Arial" w:hAnsi="Arial" w:cs="Arial"/>
          <w:color w:val="000000" w:themeColor="text1"/>
          <w:sz w:val="24"/>
          <w:szCs w:val="24"/>
        </w:rPr>
        <w:t>prior to changing any approved contents</w:t>
      </w:r>
      <w:r w:rsidR="00A16D77" w:rsidRPr="004F4090">
        <w:rPr>
          <w:rFonts w:ascii="Arial" w:hAnsi="Arial" w:cs="Arial"/>
          <w:color w:val="000000" w:themeColor="text1"/>
          <w:sz w:val="24"/>
          <w:szCs w:val="24"/>
        </w:rPr>
        <w:t xml:space="preserve"> of the project</w:t>
      </w:r>
      <w:r w:rsidR="00A16D77" w:rsidRPr="004F4090">
        <w:rPr>
          <w:rFonts w:ascii="Arial" w:hAnsi="Arial" w:cs="Arial"/>
          <w:color w:val="000000" w:themeColor="text1"/>
          <w:sz w:val="24"/>
          <w:szCs w:val="24"/>
          <w:lang w:eastAsia="ja-JP"/>
        </w:rPr>
        <w:t xml:space="preserve">, including </w:t>
      </w:r>
      <w:r w:rsidR="00802705" w:rsidRPr="004F4090">
        <w:rPr>
          <w:rFonts w:ascii="Arial" w:hAnsi="Arial" w:cs="Arial"/>
          <w:color w:val="000000" w:themeColor="text1"/>
          <w:sz w:val="24"/>
          <w:szCs w:val="24"/>
          <w:lang w:eastAsia="ja-JP"/>
        </w:rPr>
        <w:t>changes to</w:t>
      </w:r>
      <w:r w:rsidR="00D73608" w:rsidRPr="004F4090">
        <w:rPr>
          <w:rFonts w:ascii="Arial" w:hAnsi="Arial" w:cs="Arial"/>
          <w:color w:val="000000" w:themeColor="text1"/>
          <w:sz w:val="24"/>
          <w:szCs w:val="24"/>
          <w:lang w:eastAsia="ja-JP"/>
        </w:rPr>
        <w:t xml:space="preserve"> </w:t>
      </w:r>
      <w:r w:rsidR="00A16D77" w:rsidRPr="004F4090">
        <w:rPr>
          <w:rFonts w:ascii="Arial" w:hAnsi="Arial" w:cs="Arial"/>
          <w:color w:val="000000" w:themeColor="text1"/>
          <w:sz w:val="24"/>
          <w:szCs w:val="24"/>
          <w:lang w:eastAsia="ja-JP"/>
        </w:rPr>
        <w:t>budget line items</w:t>
      </w:r>
      <w:r w:rsidR="00D73608" w:rsidRPr="004F4090">
        <w:rPr>
          <w:rFonts w:ascii="Arial" w:hAnsi="Arial" w:cs="Arial"/>
          <w:color w:val="000000" w:themeColor="text1"/>
          <w:sz w:val="24"/>
          <w:szCs w:val="24"/>
        </w:rPr>
        <w:t>.</w:t>
      </w:r>
    </w:p>
    <w:p w14:paraId="33F9922A" w14:textId="77777777" w:rsidR="00B651C7" w:rsidRPr="004F4090" w:rsidRDefault="00B651C7" w:rsidP="00C63DEE">
      <w:pPr>
        <w:pStyle w:val="ListParagraph"/>
        <w:tabs>
          <w:tab w:val="left" w:pos="567"/>
        </w:tabs>
        <w:spacing w:after="0" w:line="240" w:lineRule="auto"/>
        <w:jc w:val="both"/>
        <w:rPr>
          <w:rFonts w:ascii="Arial" w:hAnsi="Arial" w:cs="Arial"/>
          <w:color w:val="000000" w:themeColor="text1"/>
          <w:sz w:val="24"/>
          <w:szCs w:val="24"/>
        </w:rPr>
      </w:pPr>
    </w:p>
    <w:p w14:paraId="141FE87D" w14:textId="3E73CE17" w:rsidR="00B651C7" w:rsidRPr="004F4090" w:rsidRDefault="00B651C7"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lang w:eastAsia="ja-JP"/>
        </w:rPr>
      </w:pPr>
      <w:r w:rsidRPr="004F4090">
        <w:rPr>
          <w:rFonts w:ascii="Arial" w:hAnsi="Arial" w:cs="Arial"/>
          <w:color w:val="000000" w:themeColor="text1"/>
          <w:sz w:val="24"/>
          <w:szCs w:val="24"/>
          <w:lang w:eastAsia="ja-JP"/>
        </w:rPr>
        <w:t xml:space="preserve">Air transportation costs should first be set based on </w:t>
      </w:r>
      <w:r w:rsidR="000C6627" w:rsidRPr="004F4090">
        <w:rPr>
          <w:rFonts w:ascii="Arial" w:hAnsi="Arial" w:cs="Arial"/>
          <w:color w:val="000000" w:themeColor="text1"/>
          <w:sz w:val="24"/>
          <w:szCs w:val="24"/>
          <w:lang w:eastAsia="ja-JP"/>
        </w:rPr>
        <w:t>e</w:t>
      </w:r>
      <w:r w:rsidRPr="004F4090">
        <w:rPr>
          <w:rFonts w:ascii="Arial" w:hAnsi="Arial" w:cs="Arial"/>
          <w:color w:val="000000" w:themeColor="text1"/>
          <w:sz w:val="24"/>
          <w:szCs w:val="24"/>
          <w:lang w:eastAsia="ja-JP"/>
        </w:rPr>
        <w:t xml:space="preserve">conomy </w:t>
      </w:r>
      <w:r w:rsidR="000C6627" w:rsidRPr="004F4090">
        <w:rPr>
          <w:rFonts w:ascii="Arial" w:hAnsi="Arial" w:cs="Arial"/>
          <w:color w:val="000000" w:themeColor="text1"/>
          <w:sz w:val="24"/>
          <w:szCs w:val="24"/>
          <w:lang w:eastAsia="ja-JP"/>
        </w:rPr>
        <w:t>c</w:t>
      </w:r>
      <w:r w:rsidRPr="004F4090">
        <w:rPr>
          <w:rFonts w:ascii="Arial" w:hAnsi="Arial" w:cs="Arial"/>
          <w:color w:val="000000" w:themeColor="text1"/>
          <w:sz w:val="24"/>
          <w:szCs w:val="24"/>
          <w:lang w:eastAsia="ja-JP"/>
        </w:rPr>
        <w:t>lass flight prices and should later be officially calculated based on the prices recorded on the receipts.</w:t>
      </w:r>
    </w:p>
    <w:p w14:paraId="2B1306FB" w14:textId="77777777" w:rsidR="00D73608" w:rsidRPr="004F4090" w:rsidRDefault="00D73608" w:rsidP="00C63DEE">
      <w:pPr>
        <w:pStyle w:val="ListParagraph"/>
        <w:spacing w:after="0" w:line="240" w:lineRule="auto"/>
        <w:ind w:left="0"/>
        <w:jc w:val="both"/>
        <w:rPr>
          <w:rFonts w:ascii="Arial" w:hAnsi="Arial" w:cs="Arial"/>
          <w:color w:val="000000" w:themeColor="text1"/>
          <w:sz w:val="24"/>
          <w:szCs w:val="24"/>
          <w:lang w:eastAsia="ja-JP"/>
        </w:rPr>
      </w:pPr>
    </w:p>
    <w:p w14:paraId="2F707538" w14:textId="7B8AA694" w:rsidR="00947B25" w:rsidRPr="004F4090" w:rsidRDefault="00553C09" w:rsidP="00C63DEE">
      <w:pPr>
        <w:pStyle w:val="ListContinue"/>
        <w:tabs>
          <w:tab w:val="left" w:pos="567"/>
        </w:tabs>
        <w:spacing w:before="0" w:after="0" w:line="240" w:lineRule="auto"/>
        <w:jc w:val="both"/>
        <w:rPr>
          <w:rFonts w:ascii="Arial" w:hAnsi="Arial" w:cs="Arial"/>
          <w:b/>
          <w:color w:val="000000" w:themeColor="text1"/>
          <w:sz w:val="24"/>
          <w:szCs w:val="24"/>
        </w:rPr>
      </w:pPr>
      <w:r w:rsidRPr="004F4090">
        <w:rPr>
          <w:rFonts w:ascii="Arial" w:hAnsi="Arial" w:cs="Arial"/>
          <w:b/>
          <w:color w:val="000000" w:themeColor="text1"/>
          <w:sz w:val="24"/>
          <w:szCs w:val="24"/>
        </w:rPr>
        <w:t xml:space="preserve">V. </w:t>
      </w:r>
      <w:r w:rsidR="00C63DEE" w:rsidRPr="004F4090">
        <w:rPr>
          <w:rFonts w:ascii="Arial" w:hAnsi="Arial" w:cs="Arial"/>
          <w:b/>
          <w:color w:val="000000" w:themeColor="text1"/>
          <w:sz w:val="24"/>
          <w:szCs w:val="24"/>
        </w:rPr>
        <w:tab/>
      </w:r>
      <w:r w:rsidR="006E4B2F" w:rsidRPr="004F4090">
        <w:rPr>
          <w:rFonts w:ascii="Arial" w:hAnsi="Arial" w:cs="Arial"/>
          <w:b/>
          <w:color w:val="000000" w:themeColor="text1"/>
          <w:sz w:val="24"/>
          <w:szCs w:val="24"/>
        </w:rPr>
        <w:t>Project Completion</w:t>
      </w:r>
    </w:p>
    <w:p w14:paraId="0D632433" w14:textId="77777777" w:rsidR="00947B25" w:rsidRPr="004F4090" w:rsidDel="009164EF" w:rsidRDefault="00947B25" w:rsidP="00C63DEE">
      <w:pPr>
        <w:pStyle w:val="ListParagraph"/>
        <w:spacing w:after="0" w:line="240" w:lineRule="auto"/>
        <w:ind w:left="0"/>
        <w:jc w:val="both"/>
        <w:rPr>
          <w:rFonts w:ascii="Arial" w:hAnsi="Arial" w:cs="Arial"/>
          <w:color w:val="000000" w:themeColor="text1"/>
          <w:sz w:val="24"/>
          <w:szCs w:val="24"/>
          <w:lang w:eastAsia="ja-JP"/>
        </w:rPr>
      </w:pPr>
    </w:p>
    <w:p w14:paraId="13FFA699" w14:textId="08C6E5D8" w:rsidR="00D73608" w:rsidRPr="004F4090" w:rsidRDefault="00D73608"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lang w:eastAsia="ja-JP"/>
        </w:rPr>
      </w:pPr>
      <w:r w:rsidRPr="004F4090" w:rsidDel="009164EF">
        <w:rPr>
          <w:rFonts w:ascii="Arial" w:hAnsi="Arial" w:cs="Arial"/>
          <w:color w:val="000000" w:themeColor="text1"/>
          <w:sz w:val="24"/>
          <w:szCs w:val="24"/>
          <w:lang w:eastAsia="ja-JP"/>
        </w:rPr>
        <w:t xml:space="preserve">The </w:t>
      </w:r>
      <w:r w:rsidR="000C6627" w:rsidRPr="004F4090">
        <w:rPr>
          <w:rFonts w:ascii="Arial" w:hAnsi="Arial" w:cs="Arial"/>
          <w:color w:val="000000" w:themeColor="text1"/>
          <w:sz w:val="24"/>
          <w:szCs w:val="24"/>
          <w:lang w:eastAsia="ja-JP"/>
        </w:rPr>
        <w:t>P</w:t>
      </w:r>
      <w:r w:rsidRPr="004F4090" w:rsidDel="009164EF">
        <w:rPr>
          <w:rFonts w:ascii="Arial" w:hAnsi="Arial" w:cs="Arial"/>
          <w:color w:val="000000" w:themeColor="text1"/>
          <w:sz w:val="24"/>
          <w:szCs w:val="24"/>
          <w:lang w:eastAsia="ja-JP"/>
        </w:rPr>
        <w:t xml:space="preserve">roponent must submit original receipts. When original receipts are not available for submission to the </w:t>
      </w:r>
      <w:r w:rsidR="000C6627" w:rsidRPr="004F4090">
        <w:rPr>
          <w:rFonts w:ascii="Arial" w:hAnsi="Arial" w:cs="Arial"/>
          <w:color w:val="000000" w:themeColor="text1"/>
          <w:sz w:val="24"/>
          <w:szCs w:val="24"/>
          <w:lang w:eastAsia="ja-JP"/>
        </w:rPr>
        <w:t>ASEC</w:t>
      </w:r>
      <w:r w:rsidRPr="004F4090" w:rsidDel="009164EF">
        <w:rPr>
          <w:rFonts w:ascii="Arial" w:hAnsi="Arial" w:cs="Arial"/>
          <w:color w:val="000000" w:themeColor="text1"/>
          <w:sz w:val="24"/>
          <w:szCs w:val="24"/>
          <w:lang w:eastAsia="ja-JP"/>
        </w:rPr>
        <w:t>, copies</w:t>
      </w:r>
      <w:r w:rsidRPr="004F4090" w:rsidDel="009164EF">
        <w:rPr>
          <w:rFonts w:ascii="Arial" w:hAnsi="Arial" w:cs="Arial"/>
          <w:color w:val="000000" w:themeColor="text1"/>
          <w:sz w:val="24"/>
          <w:szCs w:val="24"/>
        </w:rPr>
        <w:t xml:space="preserve"> of </w:t>
      </w:r>
      <w:r w:rsidRPr="004F4090" w:rsidDel="009164EF">
        <w:rPr>
          <w:rFonts w:ascii="Arial" w:hAnsi="Arial" w:cs="Arial"/>
          <w:color w:val="000000" w:themeColor="text1"/>
          <w:sz w:val="24"/>
          <w:szCs w:val="24"/>
          <w:lang w:eastAsia="ja-JP"/>
        </w:rPr>
        <w:t xml:space="preserve">receipts certified by the Head of Office of the </w:t>
      </w:r>
      <w:r w:rsidR="000C6627" w:rsidRPr="004F4090">
        <w:rPr>
          <w:rFonts w:ascii="Arial" w:hAnsi="Arial" w:cs="Arial"/>
          <w:color w:val="000000" w:themeColor="text1"/>
          <w:sz w:val="24"/>
          <w:szCs w:val="24"/>
          <w:lang w:eastAsia="ja-JP"/>
        </w:rPr>
        <w:t>IA</w:t>
      </w:r>
      <w:r w:rsidRPr="004F4090" w:rsidDel="009164EF">
        <w:rPr>
          <w:rFonts w:ascii="Arial" w:hAnsi="Arial" w:cs="Arial"/>
          <w:color w:val="000000" w:themeColor="text1"/>
          <w:sz w:val="24"/>
          <w:szCs w:val="24"/>
          <w:lang w:eastAsia="ja-JP"/>
        </w:rPr>
        <w:t xml:space="preserve"> and justified explanation for the absence of original receipts are required. The financial statement, report and the form of Statement of Accounts explaining the project approved budget, actual expenditure and balances, including total fund received and disbursed, must indicate the USD equivalent at the prevailing exchange rates at the time of </w:t>
      </w:r>
      <w:r w:rsidRPr="004F4090">
        <w:rPr>
          <w:rFonts w:ascii="Arial" w:hAnsi="Arial" w:cs="Arial"/>
          <w:color w:val="000000" w:themeColor="text1"/>
          <w:sz w:val="24"/>
          <w:szCs w:val="24"/>
          <w:lang w:eastAsia="ja-JP"/>
        </w:rPr>
        <w:t xml:space="preserve">transaction. </w:t>
      </w:r>
    </w:p>
    <w:p w14:paraId="51A70623" w14:textId="77777777" w:rsidR="00B77AEE" w:rsidRPr="004F4090" w:rsidRDefault="00B77AEE" w:rsidP="00C63DEE">
      <w:pPr>
        <w:pStyle w:val="ListParagraph"/>
        <w:tabs>
          <w:tab w:val="left" w:pos="567"/>
        </w:tabs>
        <w:spacing w:after="0" w:line="240" w:lineRule="auto"/>
        <w:ind w:left="0"/>
        <w:jc w:val="both"/>
        <w:rPr>
          <w:rFonts w:ascii="Arial" w:hAnsi="Arial" w:cs="Arial"/>
          <w:color w:val="000000" w:themeColor="text1"/>
          <w:sz w:val="24"/>
          <w:szCs w:val="24"/>
          <w:lang w:eastAsia="ja-JP"/>
        </w:rPr>
      </w:pPr>
    </w:p>
    <w:p w14:paraId="0FA33C4B" w14:textId="4D988D19" w:rsidR="00D73608" w:rsidRPr="004F4090" w:rsidRDefault="000C6627"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lang w:eastAsia="ko-KR"/>
        </w:rPr>
      </w:pPr>
      <w:r w:rsidRPr="004F4090">
        <w:rPr>
          <w:rFonts w:ascii="Arial" w:hAnsi="Arial" w:cs="Arial"/>
          <w:color w:val="000000" w:themeColor="text1"/>
          <w:sz w:val="24"/>
          <w:szCs w:val="24"/>
          <w:lang w:eastAsia="ja-JP"/>
        </w:rPr>
        <w:t>P</w:t>
      </w:r>
      <w:r w:rsidR="00D73608" w:rsidRPr="004F4090">
        <w:rPr>
          <w:rFonts w:ascii="Arial" w:hAnsi="Arial" w:cs="Arial"/>
          <w:color w:val="000000" w:themeColor="text1"/>
          <w:sz w:val="24"/>
          <w:szCs w:val="24"/>
          <w:lang w:eastAsia="ja-JP"/>
        </w:rPr>
        <w:t>roponents will submit to AKFTA-WGEC, through the</w:t>
      </w:r>
      <w:r w:rsidR="00FF27C0">
        <w:rPr>
          <w:rFonts w:ascii="Arial" w:hAnsi="Arial" w:cs="Arial"/>
          <w:color w:val="000000" w:themeColor="text1"/>
          <w:sz w:val="24"/>
          <w:szCs w:val="24"/>
          <w:lang w:eastAsia="ja-JP"/>
        </w:rPr>
        <w:t xml:space="preserve"> </w:t>
      </w:r>
      <w:r w:rsidRPr="004F4090">
        <w:rPr>
          <w:rFonts w:ascii="Arial" w:hAnsi="Arial" w:cs="Arial"/>
          <w:color w:val="000000" w:themeColor="text1"/>
          <w:sz w:val="24"/>
          <w:szCs w:val="24"/>
          <w:lang w:eastAsia="ja-JP"/>
        </w:rPr>
        <w:t>ASEC</w:t>
      </w:r>
      <w:r w:rsidR="00D73608" w:rsidRPr="004F4090">
        <w:rPr>
          <w:rFonts w:ascii="Arial" w:hAnsi="Arial" w:cs="Arial"/>
          <w:color w:val="000000" w:themeColor="text1"/>
          <w:sz w:val="24"/>
          <w:szCs w:val="24"/>
          <w:lang w:eastAsia="ja-JP"/>
        </w:rPr>
        <w:t>, a Project Completion Report and a Financial Report with the full accounting statement of the grant within 60</w:t>
      </w:r>
      <w:r w:rsidR="000F1A0E" w:rsidRPr="004F4090">
        <w:rPr>
          <w:rFonts w:ascii="Arial" w:hAnsi="Arial" w:cs="Arial"/>
          <w:color w:val="000000" w:themeColor="text1"/>
          <w:sz w:val="24"/>
          <w:szCs w:val="24"/>
          <w:lang w:eastAsia="ja-JP"/>
        </w:rPr>
        <w:t xml:space="preserve"> </w:t>
      </w:r>
      <w:r w:rsidR="00D73608" w:rsidRPr="004F4090">
        <w:rPr>
          <w:rFonts w:ascii="Arial" w:hAnsi="Arial" w:cs="Arial"/>
          <w:color w:val="000000" w:themeColor="text1"/>
          <w:sz w:val="24"/>
          <w:szCs w:val="24"/>
          <w:lang w:eastAsia="ja-JP"/>
        </w:rPr>
        <w:t>days after the end of each project. These reports must be submitted using the specified templates as in</w:t>
      </w:r>
      <w:r w:rsidR="00D73608" w:rsidRPr="004F4090">
        <w:rPr>
          <w:rFonts w:ascii="Arial" w:hAnsi="Arial" w:cs="Arial"/>
          <w:b/>
          <w:color w:val="000000" w:themeColor="text1"/>
          <w:sz w:val="24"/>
          <w:szCs w:val="24"/>
          <w:lang w:eastAsia="ja-JP"/>
        </w:rPr>
        <w:t xml:space="preserve"> Annexes A and C of the PFDR</w:t>
      </w:r>
      <w:r w:rsidR="006506D7" w:rsidRPr="004F4090">
        <w:rPr>
          <w:rFonts w:ascii="Arial" w:hAnsi="Arial" w:cs="Arial"/>
          <w:color w:val="000000" w:themeColor="text1"/>
          <w:sz w:val="24"/>
          <w:szCs w:val="24"/>
          <w:lang w:eastAsia="ja-JP"/>
        </w:rPr>
        <w:t xml:space="preserve"> </w:t>
      </w:r>
      <w:r w:rsidR="00D73608" w:rsidRPr="004F4090">
        <w:rPr>
          <w:rFonts w:ascii="Arial" w:hAnsi="Arial" w:cs="Arial"/>
          <w:color w:val="000000" w:themeColor="text1"/>
          <w:sz w:val="24"/>
          <w:szCs w:val="24"/>
          <w:lang w:eastAsia="ja-JP"/>
        </w:rPr>
        <w:t>respectively.</w:t>
      </w:r>
      <w:r w:rsidR="00B540AC" w:rsidRPr="004F4090">
        <w:rPr>
          <w:rFonts w:ascii="Arial" w:hAnsi="Arial" w:cs="Arial"/>
          <w:color w:val="000000" w:themeColor="text1"/>
          <w:sz w:val="24"/>
          <w:szCs w:val="24"/>
          <w:lang w:eastAsia="ja-JP"/>
        </w:rPr>
        <w:t xml:space="preserve"> </w:t>
      </w:r>
      <w:r w:rsidR="00354809" w:rsidRPr="004F4090" w:rsidDel="009164EF">
        <w:rPr>
          <w:rFonts w:ascii="Arial" w:hAnsi="Arial" w:cs="Arial"/>
          <w:color w:val="000000" w:themeColor="text1"/>
          <w:sz w:val="24"/>
          <w:szCs w:val="24"/>
          <w:lang w:eastAsia="ja-JP"/>
        </w:rPr>
        <w:t xml:space="preserve">The project </w:t>
      </w:r>
      <w:r w:rsidRPr="004F4090">
        <w:rPr>
          <w:rFonts w:ascii="Arial" w:hAnsi="Arial" w:cs="Arial"/>
          <w:color w:val="000000" w:themeColor="text1"/>
          <w:sz w:val="24"/>
          <w:szCs w:val="24"/>
          <w:lang w:eastAsia="ja-JP"/>
        </w:rPr>
        <w:t>P</w:t>
      </w:r>
      <w:r w:rsidR="00354809" w:rsidRPr="004F4090" w:rsidDel="009164EF">
        <w:rPr>
          <w:rFonts w:ascii="Arial" w:hAnsi="Arial" w:cs="Arial"/>
          <w:color w:val="000000" w:themeColor="text1"/>
          <w:sz w:val="24"/>
          <w:szCs w:val="24"/>
          <w:lang w:eastAsia="ja-JP"/>
        </w:rPr>
        <w:t xml:space="preserve">roponent is required to return to </w:t>
      </w:r>
      <w:r w:rsidRPr="004F4090">
        <w:rPr>
          <w:rFonts w:ascii="Arial" w:hAnsi="Arial" w:cs="Arial"/>
          <w:color w:val="000000" w:themeColor="text1"/>
          <w:sz w:val="24"/>
          <w:szCs w:val="24"/>
          <w:lang w:eastAsia="ja-JP"/>
        </w:rPr>
        <w:t>the ASEC</w:t>
      </w:r>
      <w:r w:rsidR="00354809" w:rsidRPr="004F4090" w:rsidDel="009164EF">
        <w:rPr>
          <w:rFonts w:ascii="Arial" w:hAnsi="Arial" w:cs="Arial"/>
          <w:color w:val="000000" w:themeColor="text1"/>
          <w:sz w:val="24"/>
          <w:szCs w:val="24"/>
          <w:lang w:eastAsia="ja-JP"/>
        </w:rPr>
        <w:t xml:space="preserve"> any unspent amount of the AKEC F</w:t>
      </w:r>
      <w:r w:rsidR="00354809" w:rsidRPr="004F4090">
        <w:rPr>
          <w:rFonts w:ascii="Arial" w:hAnsi="Arial" w:cs="Arial"/>
          <w:color w:val="000000" w:themeColor="text1"/>
          <w:sz w:val="24"/>
          <w:szCs w:val="24"/>
          <w:lang w:eastAsia="ja-JP"/>
        </w:rPr>
        <w:t>und and interest earned within 9</w:t>
      </w:r>
      <w:r w:rsidR="00354809" w:rsidRPr="004F4090" w:rsidDel="009164EF">
        <w:rPr>
          <w:rFonts w:ascii="Arial" w:hAnsi="Arial" w:cs="Arial"/>
          <w:color w:val="000000" w:themeColor="text1"/>
          <w:sz w:val="24"/>
          <w:szCs w:val="24"/>
          <w:lang w:eastAsia="ja-JP"/>
        </w:rPr>
        <w:t xml:space="preserve">0 calendar </w:t>
      </w:r>
      <w:r w:rsidR="00354809" w:rsidRPr="004F4090" w:rsidDel="009164EF">
        <w:rPr>
          <w:rFonts w:ascii="Arial" w:hAnsi="Arial" w:cs="Arial"/>
          <w:color w:val="000000" w:themeColor="text1"/>
          <w:sz w:val="24"/>
          <w:szCs w:val="24"/>
        </w:rPr>
        <w:t xml:space="preserve">days after the end of each project. </w:t>
      </w:r>
    </w:p>
    <w:p w14:paraId="044CB8FB" w14:textId="77777777" w:rsidR="00D73608" w:rsidRPr="004F4090" w:rsidRDefault="00D73608" w:rsidP="00C63DEE">
      <w:pPr>
        <w:pStyle w:val="ListParagraph"/>
        <w:tabs>
          <w:tab w:val="left" w:pos="567"/>
        </w:tabs>
        <w:spacing w:after="0" w:line="240" w:lineRule="auto"/>
        <w:ind w:left="0"/>
        <w:jc w:val="both"/>
        <w:rPr>
          <w:rFonts w:ascii="Arial" w:hAnsi="Arial" w:cs="Arial"/>
          <w:color w:val="000000" w:themeColor="text1"/>
          <w:sz w:val="24"/>
          <w:szCs w:val="24"/>
          <w:lang w:eastAsia="ja-JP"/>
        </w:rPr>
      </w:pPr>
    </w:p>
    <w:p w14:paraId="5ABD0FBF" w14:textId="6F3B87C8" w:rsidR="005A35C7" w:rsidRPr="004F4090" w:rsidRDefault="00D73608"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sidRPr="004F4090" w:rsidDel="009164EF">
        <w:rPr>
          <w:rFonts w:ascii="Arial" w:hAnsi="Arial" w:cs="Arial"/>
          <w:color w:val="000000" w:themeColor="text1"/>
          <w:sz w:val="24"/>
          <w:szCs w:val="24"/>
        </w:rPr>
        <w:t xml:space="preserve">For </w:t>
      </w:r>
      <w:r w:rsidRPr="004F4090" w:rsidDel="009164EF">
        <w:rPr>
          <w:rFonts w:ascii="Arial" w:hAnsi="Arial" w:cs="Arial"/>
          <w:color w:val="000000" w:themeColor="text1"/>
          <w:sz w:val="24"/>
          <w:szCs w:val="24"/>
          <w:lang w:eastAsia="ja-JP"/>
        </w:rPr>
        <w:t xml:space="preserve">a </w:t>
      </w:r>
      <w:r w:rsidRPr="004F4090" w:rsidDel="009164EF">
        <w:rPr>
          <w:rFonts w:ascii="Arial" w:hAnsi="Arial" w:cs="Arial"/>
          <w:color w:val="000000" w:themeColor="text1"/>
          <w:sz w:val="24"/>
          <w:szCs w:val="24"/>
        </w:rPr>
        <w:t>multi-year project</w:t>
      </w:r>
      <w:r w:rsidRPr="004F4090" w:rsidDel="009164EF">
        <w:rPr>
          <w:rFonts w:ascii="Arial" w:hAnsi="Arial" w:cs="Arial"/>
          <w:color w:val="000000" w:themeColor="text1"/>
          <w:sz w:val="24"/>
          <w:szCs w:val="24"/>
          <w:lang w:eastAsia="ja-JP"/>
        </w:rPr>
        <w:t>, the project proponent will submit to AK</w:t>
      </w:r>
      <w:r w:rsidR="009E770C" w:rsidRPr="004F4090">
        <w:rPr>
          <w:rFonts w:ascii="Arial" w:hAnsi="Arial" w:cs="Arial"/>
          <w:color w:val="000000" w:themeColor="text1"/>
          <w:sz w:val="24"/>
          <w:szCs w:val="24"/>
          <w:lang w:eastAsia="ja-JP"/>
        </w:rPr>
        <w:t>FTA-</w:t>
      </w:r>
      <w:r w:rsidRPr="004F4090" w:rsidDel="009164EF">
        <w:rPr>
          <w:rFonts w:ascii="Arial" w:hAnsi="Arial" w:cs="Arial"/>
          <w:color w:val="000000" w:themeColor="text1"/>
          <w:sz w:val="24"/>
          <w:szCs w:val="24"/>
          <w:lang w:eastAsia="ja-JP"/>
        </w:rPr>
        <w:t xml:space="preserve">WGEC a yearly financial statement (for reporting period January – December) </w:t>
      </w:r>
      <w:r w:rsidR="00424BE7" w:rsidRPr="004F4090">
        <w:rPr>
          <w:rFonts w:ascii="Arial" w:hAnsi="Arial" w:cs="Arial"/>
          <w:color w:val="000000" w:themeColor="text1"/>
          <w:sz w:val="24"/>
          <w:szCs w:val="24"/>
          <w:lang w:eastAsia="ja-JP"/>
        </w:rPr>
        <w:t xml:space="preserve">within 30 days after the end of </w:t>
      </w:r>
      <w:r w:rsidR="00424BE7" w:rsidRPr="004F4090">
        <w:rPr>
          <w:rFonts w:ascii="Arial" w:hAnsi="Arial" w:cs="Arial"/>
          <w:color w:val="000000" w:themeColor="text1"/>
          <w:sz w:val="24"/>
          <w:szCs w:val="24"/>
        </w:rPr>
        <w:t xml:space="preserve">ASEC’s fiscal year </w:t>
      </w:r>
      <w:r w:rsidRPr="004F4090" w:rsidDel="009164EF">
        <w:rPr>
          <w:rFonts w:ascii="Arial" w:hAnsi="Arial" w:cs="Arial"/>
          <w:color w:val="000000" w:themeColor="text1"/>
          <w:sz w:val="24"/>
          <w:szCs w:val="24"/>
          <w:lang w:eastAsia="ja-JP"/>
        </w:rPr>
        <w:t xml:space="preserve">and a progress report where necessary. </w:t>
      </w:r>
      <w:r w:rsidR="005A35C7" w:rsidRPr="004F4090">
        <w:rPr>
          <w:rFonts w:ascii="Arial" w:hAnsi="Arial" w:cs="Arial"/>
          <w:color w:val="000000" w:themeColor="text1"/>
          <w:sz w:val="24"/>
          <w:szCs w:val="24"/>
        </w:rPr>
        <w:t xml:space="preserve">In case where proponents have not submitted the reports for project completion, funding for the next project will be withheld until the pending report is settled. </w:t>
      </w:r>
    </w:p>
    <w:p w14:paraId="5ADEC01E" w14:textId="77777777" w:rsidR="006E4B2F" w:rsidRPr="004F4090" w:rsidRDefault="006E4B2F" w:rsidP="00C63DEE">
      <w:pPr>
        <w:pStyle w:val="ListParagraph"/>
        <w:tabs>
          <w:tab w:val="left" w:pos="567"/>
        </w:tabs>
        <w:spacing w:after="0" w:line="240" w:lineRule="auto"/>
        <w:ind w:left="0"/>
        <w:jc w:val="both"/>
        <w:rPr>
          <w:rFonts w:ascii="Arial" w:hAnsi="Arial" w:cs="Arial"/>
          <w:color w:val="000000" w:themeColor="text1"/>
          <w:sz w:val="24"/>
          <w:szCs w:val="24"/>
        </w:rPr>
      </w:pPr>
    </w:p>
    <w:p w14:paraId="031EC04A" w14:textId="07CC75E9" w:rsidR="00D73608" w:rsidRPr="004F4090" w:rsidRDefault="004A6105" w:rsidP="00C63DEE">
      <w:pPr>
        <w:pStyle w:val="ListParagraph"/>
        <w:numPr>
          <w:ilvl w:val="0"/>
          <w:numId w:val="7"/>
        </w:numPr>
        <w:tabs>
          <w:tab w:val="left" w:pos="567"/>
        </w:tabs>
        <w:spacing w:after="0" w:line="240" w:lineRule="auto"/>
        <w:ind w:left="0" w:firstLine="0"/>
        <w:jc w:val="both"/>
        <w:rPr>
          <w:rFonts w:ascii="Arial" w:hAnsi="Arial" w:cs="Arial"/>
          <w:b/>
          <w:color w:val="000000" w:themeColor="text1"/>
          <w:sz w:val="24"/>
          <w:szCs w:val="24"/>
        </w:rPr>
      </w:pPr>
      <w:r w:rsidRPr="004F4090">
        <w:rPr>
          <w:rFonts w:ascii="Arial" w:hAnsi="Arial" w:cs="Arial"/>
          <w:color w:val="000000" w:themeColor="text1"/>
          <w:sz w:val="24"/>
          <w:szCs w:val="24"/>
          <w:lang w:eastAsia="ja-JP"/>
        </w:rPr>
        <w:t>In addition, p</w:t>
      </w:r>
      <w:r w:rsidR="003713D0" w:rsidRPr="004F4090">
        <w:rPr>
          <w:rFonts w:ascii="Arial" w:hAnsi="Arial" w:cs="Arial"/>
          <w:color w:val="000000" w:themeColor="text1"/>
          <w:sz w:val="24"/>
          <w:szCs w:val="24"/>
          <w:lang w:eastAsia="ja-JP"/>
        </w:rPr>
        <w:t>roject</w:t>
      </w:r>
      <w:r w:rsidR="003713D0" w:rsidRPr="004F4090">
        <w:rPr>
          <w:rFonts w:ascii="Arial" w:hAnsi="Arial" w:cs="Arial"/>
          <w:color w:val="000000" w:themeColor="text1"/>
          <w:sz w:val="24"/>
          <w:szCs w:val="24"/>
        </w:rPr>
        <w:t xml:space="preserve"> </w:t>
      </w:r>
      <w:r w:rsidR="000C6627" w:rsidRPr="004F4090">
        <w:rPr>
          <w:rFonts w:ascii="Arial" w:hAnsi="Arial" w:cs="Arial"/>
          <w:color w:val="000000" w:themeColor="text1"/>
          <w:sz w:val="24"/>
          <w:szCs w:val="24"/>
        </w:rPr>
        <w:t>P</w:t>
      </w:r>
      <w:r w:rsidR="003713D0" w:rsidRPr="004F4090">
        <w:rPr>
          <w:rFonts w:ascii="Arial" w:hAnsi="Arial" w:cs="Arial"/>
          <w:color w:val="000000" w:themeColor="text1"/>
          <w:sz w:val="24"/>
          <w:szCs w:val="24"/>
        </w:rPr>
        <w:t xml:space="preserve">roponents through their respective country focal points </w:t>
      </w:r>
      <w:r w:rsidR="002971DE" w:rsidRPr="004F4090">
        <w:rPr>
          <w:rFonts w:ascii="Arial" w:hAnsi="Arial" w:cs="Arial"/>
          <w:color w:val="000000" w:themeColor="text1"/>
          <w:sz w:val="24"/>
          <w:szCs w:val="24"/>
        </w:rPr>
        <w:t>will</w:t>
      </w:r>
      <w:r w:rsidR="003713D0" w:rsidRPr="004F4090">
        <w:rPr>
          <w:rFonts w:ascii="Arial" w:hAnsi="Arial" w:cs="Arial"/>
          <w:color w:val="000000" w:themeColor="text1"/>
          <w:sz w:val="24"/>
          <w:szCs w:val="24"/>
        </w:rPr>
        <w:t xml:space="preserve"> be requested to submit progress/implementation status reports on the approved projects on quarterly basis and at every </w:t>
      </w:r>
      <w:r w:rsidR="00354809" w:rsidRPr="004F4090">
        <w:rPr>
          <w:rFonts w:ascii="Arial" w:hAnsi="Arial" w:cs="Arial"/>
          <w:color w:val="000000" w:themeColor="text1"/>
          <w:sz w:val="24"/>
          <w:szCs w:val="24"/>
          <w:lang w:eastAsia="ja-JP"/>
        </w:rPr>
        <w:t>AKFTA-</w:t>
      </w:r>
      <w:r w:rsidR="003713D0" w:rsidRPr="004F4090">
        <w:rPr>
          <w:rFonts w:ascii="Arial" w:hAnsi="Arial" w:cs="Arial"/>
          <w:color w:val="000000" w:themeColor="text1"/>
          <w:sz w:val="24"/>
          <w:szCs w:val="24"/>
        </w:rPr>
        <w:t xml:space="preserve">WGEC meeting until the projects end. The Progress Report Template appears as </w:t>
      </w:r>
      <w:r w:rsidR="005A35C7" w:rsidRPr="004F4090">
        <w:rPr>
          <w:rFonts w:ascii="Arial" w:hAnsi="Arial" w:cs="Arial"/>
          <w:b/>
          <w:color w:val="000000" w:themeColor="text1"/>
          <w:sz w:val="24"/>
          <w:szCs w:val="24"/>
          <w:u w:val="single"/>
          <w:lang w:eastAsia="ja-JP"/>
        </w:rPr>
        <w:t>APPENDIX 5</w:t>
      </w:r>
      <w:r w:rsidR="00B540AC" w:rsidRPr="004F4090">
        <w:rPr>
          <w:rFonts w:ascii="Arial" w:hAnsi="Arial" w:cs="Arial"/>
          <w:b/>
          <w:color w:val="000000" w:themeColor="text1"/>
          <w:sz w:val="24"/>
          <w:szCs w:val="24"/>
          <w:u w:val="single"/>
        </w:rPr>
        <w:t>.</w:t>
      </w:r>
    </w:p>
    <w:p w14:paraId="10826D0A" w14:textId="77777777" w:rsidR="0042370A" w:rsidRPr="004F4090" w:rsidRDefault="0042370A" w:rsidP="00C63DEE">
      <w:pPr>
        <w:pStyle w:val="ListParagraph"/>
        <w:spacing w:after="0" w:line="240" w:lineRule="auto"/>
        <w:ind w:left="0"/>
        <w:jc w:val="both"/>
        <w:rPr>
          <w:rFonts w:ascii="Arial" w:hAnsi="Arial" w:cs="Arial"/>
          <w:b/>
          <w:color w:val="000000" w:themeColor="text1"/>
          <w:sz w:val="24"/>
          <w:szCs w:val="24"/>
        </w:rPr>
      </w:pPr>
    </w:p>
    <w:p w14:paraId="66513175" w14:textId="22683F33" w:rsidR="0042370A" w:rsidRPr="004F4090" w:rsidRDefault="00FF27C0" w:rsidP="00C63DEE">
      <w:pPr>
        <w:pStyle w:val="ListParagraph"/>
        <w:numPr>
          <w:ilvl w:val="0"/>
          <w:numId w:val="7"/>
        </w:numPr>
        <w:tabs>
          <w:tab w:val="left" w:pos="567"/>
        </w:tabs>
        <w:spacing w:after="0" w:line="240" w:lineRule="auto"/>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The </w:t>
      </w:r>
      <w:r w:rsidR="000C6627" w:rsidRPr="004F4090">
        <w:rPr>
          <w:rFonts w:ascii="Arial" w:hAnsi="Arial" w:cs="Arial"/>
          <w:color w:val="000000" w:themeColor="text1"/>
          <w:sz w:val="24"/>
          <w:szCs w:val="24"/>
        </w:rPr>
        <w:t>P</w:t>
      </w:r>
      <w:r w:rsidR="0042370A" w:rsidRPr="004F4090">
        <w:rPr>
          <w:rFonts w:ascii="Arial" w:hAnsi="Arial" w:cs="Arial"/>
          <w:color w:val="000000" w:themeColor="text1"/>
          <w:sz w:val="24"/>
          <w:szCs w:val="24"/>
        </w:rPr>
        <w:t xml:space="preserve">roponent will, upon request, provide financial data and/or related information, as necessary, in case the audit of the funds is required. </w:t>
      </w:r>
    </w:p>
    <w:p w14:paraId="66801627" w14:textId="1D018B1F" w:rsidR="006E4B2F" w:rsidRPr="004F4090" w:rsidRDefault="006E4B2F" w:rsidP="00C63DEE">
      <w:pPr>
        <w:pStyle w:val="ListParagraph"/>
        <w:spacing w:after="0" w:line="240" w:lineRule="auto"/>
        <w:ind w:left="0"/>
        <w:jc w:val="both"/>
        <w:rPr>
          <w:rFonts w:ascii="Arial" w:hAnsi="Arial" w:cs="Arial"/>
          <w:color w:val="000000" w:themeColor="text1"/>
          <w:sz w:val="24"/>
          <w:szCs w:val="24"/>
        </w:rPr>
      </w:pPr>
    </w:p>
    <w:p w14:paraId="5EBA1E76" w14:textId="4D581717" w:rsidR="00D73608" w:rsidRDefault="00D73608" w:rsidP="00C63DEE">
      <w:pPr>
        <w:pStyle w:val="ListParagraph"/>
        <w:numPr>
          <w:ilvl w:val="0"/>
          <w:numId w:val="7"/>
        </w:numPr>
        <w:spacing w:after="0" w:line="240" w:lineRule="auto"/>
        <w:ind w:left="0" w:firstLine="0"/>
        <w:jc w:val="both"/>
        <w:rPr>
          <w:rFonts w:ascii="Arial" w:hAnsi="Arial" w:cs="Arial"/>
          <w:color w:val="000000" w:themeColor="text1"/>
          <w:sz w:val="24"/>
          <w:szCs w:val="24"/>
          <w:lang w:eastAsia="ja-JP"/>
        </w:rPr>
      </w:pPr>
      <w:r w:rsidRPr="004F4090" w:rsidDel="009164EF">
        <w:rPr>
          <w:rFonts w:ascii="Arial" w:hAnsi="Arial" w:cs="Arial"/>
          <w:color w:val="000000" w:themeColor="text1"/>
          <w:sz w:val="24"/>
          <w:szCs w:val="24"/>
          <w:lang w:eastAsia="ja-JP"/>
        </w:rPr>
        <w:t xml:space="preserve">The </w:t>
      </w:r>
      <w:r w:rsidR="000C6627" w:rsidRPr="004F4090">
        <w:rPr>
          <w:rFonts w:ascii="Arial" w:hAnsi="Arial" w:cs="Arial"/>
          <w:color w:val="000000" w:themeColor="text1"/>
          <w:sz w:val="24"/>
          <w:szCs w:val="24"/>
          <w:lang w:eastAsia="ja-JP"/>
        </w:rPr>
        <w:t>P</w:t>
      </w:r>
      <w:r w:rsidRPr="004F4090" w:rsidDel="009164EF">
        <w:rPr>
          <w:rFonts w:ascii="Arial" w:hAnsi="Arial" w:cs="Arial"/>
          <w:color w:val="000000" w:themeColor="text1"/>
          <w:sz w:val="24"/>
          <w:szCs w:val="24"/>
          <w:lang w:eastAsia="ja-JP"/>
        </w:rPr>
        <w:t>roponent will return the fund obtained from the AKEC Fund as ascertained by the AKFTA</w:t>
      </w:r>
      <w:r w:rsidR="000F1A0E" w:rsidRPr="004F4090">
        <w:rPr>
          <w:rFonts w:ascii="Arial" w:hAnsi="Arial" w:cs="Arial"/>
          <w:color w:val="000000" w:themeColor="text1"/>
          <w:sz w:val="24"/>
          <w:szCs w:val="24"/>
          <w:lang w:eastAsia="ja-JP"/>
        </w:rPr>
        <w:t>-WGEC</w:t>
      </w:r>
      <w:r w:rsidRPr="004F4090" w:rsidDel="009164EF">
        <w:rPr>
          <w:rFonts w:ascii="Arial" w:hAnsi="Arial" w:cs="Arial"/>
          <w:color w:val="000000" w:themeColor="text1"/>
          <w:sz w:val="24"/>
          <w:szCs w:val="24"/>
          <w:lang w:eastAsia="ja-JP"/>
        </w:rPr>
        <w:t xml:space="preserve"> in the event that the fund is used for purposes other than the implementation of the project, or when the project is suspended or terminated.</w:t>
      </w:r>
    </w:p>
    <w:p w14:paraId="291DDDA1" w14:textId="71E5F572" w:rsidR="00666C9E" w:rsidRDefault="00666C9E" w:rsidP="00666C9E">
      <w:pPr>
        <w:pStyle w:val="ListParagraph"/>
        <w:rPr>
          <w:rFonts w:ascii="Arial" w:hAnsi="Arial" w:cs="Arial"/>
          <w:color w:val="000000" w:themeColor="text1"/>
          <w:sz w:val="24"/>
          <w:szCs w:val="24"/>
          <w:lang w:eastAsia="ja-JP"/>
        </w:rPr>
      </w:pPr>
    </w:p>
    <w:p w14:paraId="1E060203" w14:textId="77777777" w:rsidR="00BF38D7" w:rsidRPr="00666C9E" w:rsidRDefault="00BF38D7" w:rsidP="00666C9E">
      <w:pPr>
        <w:pStyle w:val="ListParagraph"/>
        <w:rPr>
          <w:rFonts w:ascii="Arial" w:hAnsi="Arial" w:cs="Arial"/>
          <w:color w:val="000000" w:themeColor="text1"/>
          <w:sz w:val="24"/>
          <w:szCs w:val="24"/>
          <w:lang w:eastAsia="ja-JP"/>
        </w:rPr>
      </w:pPr>
    </w:p>
    <w:p w14:paraId="477AA911" w14:textId="77777777" w:rsidR="00666C9E" w:rsidRPr="00666C9E" w:rsidRDefault="00666C9E" w:rsidP="00666C9E">
      <w:pPr>
        <w:spacing w:after="0" w:line="240" w:lineRule="auto"/>
        <w:jc w:val="both"/>
        <w:rPr>
          <w:rFonts w:ascii="Arial" w:hAnsi="Arial" w:cs="Arial"/>
          <w:color w:val="000000" w:themeColor="text1"/>
          <w:sz w:val="24"/>
          <w:szCs w:val="24"/>
          <w:lang w:eastAsia="ja-JP"/>
        </w:rPr>
      </w:pPr>
    </w:p>
    <w:p w14:paraId="1A90ADA0" w14:textId="6E45DE45" w:rsidR="00553C09" w:rsidRPr="004F4090" w:rsidRDefault="00553C09" w:rsidP="00C63DEE">
      <w:pPr>
        <w:pStyle w:val="ListParagraph"/>
        <w:spacing w:after="0" w:line="240" w:lineRule="auto"/>
        <w:ind w:left="0"/>
        <w:jc w:val="both"/>
        <w:rPr>
          <w:rFonts w:ascii="Arial" w:hAnsi="Arial"/>
          <w:b/>
          <w:color w:val="000000" w:themeColor="text1"/>
          <w:sz w:val="24"/>
        </w:rPr>
      </w:pPr>
      <w:r w:rsidRPr="004F4090">
        <w:rPr>
          <w:rFonts w:ascii="Arial" w:hAnsi="Arial"/>
          <w:b/>
          <w:color w:val="000000" w:themeColor="text1"/>
          <w:sz w:val="24"/>
        </w:rPr>
        <w:lastRenderedPageBreak/>
        <w:t xml:space="preserve">VI. </w:t>
      </w:r>
      <w:r w:rsidR="00A3039C" w:rsidRPr="004F4090">
        <w:rPr>
          <w:rFonts w:ascii="Arial" w:hAnsi="Arial"/>
          <w:b/>
          <w:color w:val="000000" w:themeColor="text1"/>
          <w:sz w:val="24"/>
        </w:rPr>
        <w:t>Summary of Process</w:t>
      </w:r>
      <w:r w:rsidR="002D5EE3" w:rsidRPr="004F4090">
        <w:rPr>
          <w:rStyle w:val="FootnoteReference"/>
          <w:rFonts w:ascii="Arial" w:hAnsi="Arial"/>
          <w:b/>
          <w:color w:val="000000" w:themeColor="text1"/>
          <w:sz w:val="24"/>
        </w:rPr>
        <w:footnoteReference w:id="3"/>
      </w:r>
      <w:r w:rsidR="00A3039C" w:rsidRPr="004F4090">
        <w:rPr>
          <w:rFonts w:ascii="Arial" w:hAnsi="Arial"/>
          <w:b/>
          <w:color w:val="000000" w:themeColor="text1"/>
          <w:sz w:val="24"/>
        </w:rPr>
        <w:t xml:space="preserve"> </w:t>
      </w:r>
    </w:p>
    <w:p w14:paraId="063E82AE" w14:textId="77777777" w:rsidR="009B58D4" w:rsidRPr="004F4090" w:rsidRDefault="009B58D4" w:rsidP="00C63DEE">
      <w:pPr>
        <w:pStyle w:val="ListParagraph"/>
        <w:spacing w:after="0" w:line="240" w:lineRule="auto"/>
        <w:ind w:left="0"/>
        <w:jc w:val="both"/>
        <w:rPr>
          <w:rFonts w:ascii="Arial" w:hAnsi="Arial"/>
          <w:b/>
          <w:color w:val="000000" w:themeColor="text1"/>
          <w:sz w:val="24"/>
        </w:rPr>
      </w:pPr>
    </w:p>
    <w:p w14:paraId="5300D177" w14:textId="77777777" w:rsidR="00A3039C" w:rsidRPr="004F4090" w:rsidRDefault="00A3039C" w:rsidP="00C63DEE">
      <w:pPr>
        <w:pStyle w:val="ListParagraph"/>
        <w:spacing w:after="0" w:line="240" w:lineRule="auto"/>
        <w:ind w:left="0"/>
        <w:jc w:val="both"/>
        <w:rPr>
          <w:rFonts w:ascii="Arial" w:hAnsi="Arial"/>
          <w:b/>
          <w:color w:val="000000" w:themeColor="text1"/>
          <w:sz w:val="24"/>
        </w:rPr>
      </w:pPr>
    </w:p>
    <w:p w14:paraId="6170B5EB" w14:textId="65B7022B" w:rsidR="00A3039C" w:rsidRPr="004F4090" w:rsidRDefault="00A3039C" w:rsidP="00C63DEE">
      <w:pPr>
        <w:pStyle w:val="ListParagraph"/>
        <w:spacing w:after="0" w:line="240" w:lineRule="auto"/>
        <w:ind w:left="0"/>
        <w:jc w:val="both"/>
        <w:rPr>
          <w:rFonts w:ascii="Arial" w:hAnsi="Arial"/>
          <w:b/>
          <w:color w:val="000000" w:themeColor="text1"/>
          <w:sz w:val="24"/>
        </w:rPr>
      </w:pPr>
      <w:r w:rsidRPr="004F4090">
        <w:rPr>
          <w:rFonts w:ascii="Arial" w:hAnsi="Arial" w:cs="Arial"/>
          <w:b/>
          <w:noProof/>
          <w:color w:val="000000" w:themeColor="text1"/>
          <w:sz w:val="24"/>
          <w:szCs w:val="24"/>
        </w:rPr>
        <w:drawing>
          <wp:inline distT="0" distB="0" distL="0" distR="0" wp14:anchorId="62CB1549" wp14:editId="4B3C0A1F">
            <wp:extent cx="5715000" cy="4851400"/>
            <wp:effectExtent l="0" t="0" r="19050" b="25400"/>
            <wp:docPr id="47" name="Diagram 47">
              <a:extLst xmlns:a="http://schemas.openxmlformats.org/drawingml/2006/main">
                <a:ext uri="{FF2B5EF4-FFF2-40B4-BE49-F238E27FC236}">
                  <a16:creationId xmlns:a16="http://schemas.microsoft.com/office/drawing/2014/main" id="{4D043B0E-B7F0-41C2-BCE6-EEB08823235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ABFA75C" w14:textId="77777777" w:rsidR="00C63DEE" w:rsidRPr="004F4090" w:rsidRDefault="00C63DEE" w:rsidP="00C63DEE">
      <w:pPr>
        <w:pStyle w:val="ListParagraph"/>
        <w:spacing w:after="0" w:line="240" w:lineRule="auto"/>
        <w:ind w:left="0"/>
        <w:jc w:val="both"/>
        <w:rPr>
          <w:rFonts w:ascii="Arial" w:hAnsi="Arial"/>
          <w:b/>
          <w:color w:val="000000" w:themeColor="text1"/>
          <w:sz w:val="24"/>
        </w:rPr>
      </w:pPr>
    </w:p>
    <w:p w14:paraId="7D55CEB6" w14:textId="47CB3F31" w:rsidR="00C63DEE" w:rsidRPr="004F4090" w:rsidRDefault="00C63DEE" w:rsidP="00C63DEE">
      <w:pPr>
        <w:pStyle w:val="ListParagraph"/>
        <w:numPr>
          <w:ilvl w:val="0"/>
          <w:numId w:val="21"/>
        </w:numPr>
        <w:spacing w:after="0" w:line="240" w:lineRule="auto"/>
        <w:ind w:left="567" w:hanging="567"/>
        <w:jc w:val="both"/>
        <w:rPr>
          <w:rFonts w:ascii="Arial" w:hAnsi="Arial" w:cs="Arial"/>
          <w:b/>
          <w:color w:val="000000" w:themeColor="text1"/>
          <w:sz w:val="24"/>
          <w:szCs w:val="24"/>
        </w:rPr>
      </w:pPr>
      <w:r w:rsidRPr="004F4090">
        <w:rPr>
          <w:rFonts w:ascii="Arial" w:hAnsi="Arial" w:cs="Arial"/>
          <w:b/>
          <w:color w:val="000000" w:themeColor="text1"/>
          <w:sz w:val="24"/>
          <w:szCs w:val="24"/>
        </w:rPr>
        <w:t>Miscellaneous Provisions</w:t>
      </w:r>
    </w:p>
    <w:p w14:paraId="5FE819B2" w14:textId="77777777" w:rsidR="00C63DEE" w:rsidRPr="004F4090" w:rsidRDefault="00C63DEE" w:rsidP="00C63DEE">
      <w:pPr>
        <w:tabs>
          <w:tab w:val="left" w:pos="567"/>
        </w:tabs>
        <w:spacing w:after="0" w:line="240" w:lineRule="auto"/>
        <w:jc w:val="both"/>
        <w:rPr>
          <w:rFonts w:ascii="Arial" w:hAnsi="Arial" w:cs="Arial"/>
          <w:color w:val="000000" w:themeColor="text1"/>
          <w:sz w:val="24"/>
          <w:szCs w:val="24"/>
        </w:rPr>
      </w:pPr>
    </w:p>
    <w:p w14:paraId="662EABFC" w14:textId="4454FBFA" w:rsidR="00C63DEE" w:rsidRPr="004F4090" w:rsidRDefault="00C63DEE" w:rsidP="00C63DEE">
      <w:pPr>
        <w:tabs>
          <w:tab w:val="left" w:pos="567"/>
        </w:tabs>
        <w:spacing w:after="0" w:line="240" w:lineRule="auto"/>
        <w:jc w:val="both"/>
        <w:rPr>
          <w:rFonts w:ascii="Arial" w:hAnsi="Arial" w:cs="Arial"/>
          <w:color w:val="000000" w:themeColor="text1"/>
          <w:sz w:val="24"/>
          <w:szCs w:val="24"/>
        </w:rPr>
      </w:pPr>
      <w:r w:rsidRPr="004F4090">
        <w:rPr>
          <w:rFonts w:ascii="Arial" w:hAnsi="Arial" w:cs="Arial"/>
          <w:color w:val="000000" w:themeColor="text1"/>
          <w:sz w:val="24"/>
          <w:szCs w:val="24"/>
        </w:rPr>
        <w:t>24.</w:t>
      </w:r>
      <w:r w:rsidRPr="004F4090">
        <w:rPr>
          <w:rFonts w:ascii="Arial" w:hAnsi="Arial" w:cs="Arial"/>
          <w:color w:val="000000" w:themeColor="text1"/>
          <w:sz w:val="24"/>
          <w:szCs w:val="24"/>
        </w:rPr>
        <w:tab/>
        <w:t xml:space="preserve">These Guidelines shall be effective immediately upon approval from the </w:t>
      </w:r>
      <w:r w:rsidR="004F4090" w:rsidRPr="004F4090">
        <w:rPr>
          <w:rFonts w:ascii="Arial" w:hAnsi="Arial" w:cs="Arial"/>
          <w:color w:val="000000" w:themeColor="text1"/>
          <w:sz w:val="24"/>
          <w:szCs w:val="24"/>
          <w:lang w:eastAsia="ja-JP"/>
        </w:rPr>
        <w:t>AKFTA-IC</w:t>
      </w:r>
      <w:r w:rsidRPr="004F4090">
        <w:rPr>
          <w:rFonts w:ascii="Arial" w:hAnsi="Arial" w:cs="Arial"/>
          <w:color w:val="000000" w:themeColor="text1"/>
          <w:sz w:val="24"/>
          <w:szCs w:val="24"/>
        </w:rPr>
        <w:t xml:space="preserve">. </w:t>
      </w:r>
    </w:p>
    <w:p w14:paraId="2788D916" w14:textId="77777777" w:rsidR="00C63DEE" w:rsidRPr="004F4090" w:rsidRDefault="00C63DEE" w:rsidP="00C63DEE">
      <w:pPr>
        <w:tabs>
          <w:tab w:val="left" w:pos="567"/>
        </w:tabs>
        <w:spacing w:after="0" w:line="240" w:lineRule="auto"/>
        <w:jc w:val="both"/>
        <w:rPr>
          <w:rFonts w:ascii="Arial" w:hAnsi="Arial" w:cs="Arial"/>
          <w:color w:val="000000" w:themeColor="text1"/>
          <w:sz w:val="24"/>
          <w:szCs w:val="24"/>
        </w:rPr>
      </w:pPr>
    </w:p>
    <w:p w14:paraId="47FCE21B" w14:textId="7F973C59" w:rsidR="00C63DEE" w:rsidRPr="004F4090" w:rsidRDefault="00C63DEE" w:rsidP="00C63DEE">
      <w:pPr>
        <w:tabs>
          <w:tab w:val="left" w:pos="567"/>
        </w:tabs>
        <w:spacing w:after="0" w:line="240" w:lineRule="auto"/>
        <w:jc w:val="both"/>
        <w:rPr>
          <w:rFonts w:ascii="Arial" w:hAnsi="Arial" w:cs="Arial"/>
          <w:color w:val="000000" w:themeColor="text1"/>
          <w:sz w:val="24"/>
          <w:szCs w:val="24"/>
        </w:rPr>
      </w:pPr>
      <w:r w:rsidRPr="004F4090">
        <w:rPr>
          <w:rFonts w:ascii="Arial" w:hAnsi="Arial" w:cs="Arial"/>
          <w:color w:val="000000" w:themeColor="text1"/>
          <w:sz w:val="24"/>
          <w:szCs w:val="24"/>
        </w:rPr>
        <w:t>25.</w:t>
      </w:r>
      <w:r w:rsidRPr="004F4090">
        <w:rPr>
          <w:rFonts w:ascii="Arial" w:hAnsi="Arial" w:cs="Arial"/>
          <w:color w:val="000000" w:themeColor="text1"/>
          <w:sz w:val="24"/>
          <w:szCs w:val="24"/>
        </w:rPr>
        <w:tab/>
        <w:t xml:space="preserve">Any amendment to these Guidelines shall be made upon the approval of the </w:t>
      </w:r>
      <w:r w:rsidR="004F4090" w:rsidRPr="004F4090">
        <w:rPr>
          <w:rFonts w:ascii="Arial" w:hAnsi="Arial" w:cs="Arial"/>
          <w:color w:val="000000" w:themeColor="text1"/>
          <w:sz w:val="24"/>
          <w:szCs w:val="24"/>
          <w:lang w:eastAsia="ja-JP"/>
        </w:rPr>
        <w:t>AKFTA-IC</w:t>
      </w:r>
      <w:r w:rsidRPr="004F4090">
        <w:rPr>
          <w:rFonts w:ascii="Arial" w:hAnsi="Arial" w:cs="Arial"/>
          <w:color w:val="000000" w:themeColor="text1"/>
          <w:sz w:val="24"/>
          <w:szCs w:val="24"/>
        </w:rPr>
        <w:t>.</w:t>
      </w:r>
    </w:p>
    <w:p w14:paraId="45844079" w14:textId="77777777" w:rsidR="00C63DEE" w:rsidRPr="004F4090" w:rsidRDefault="00C63DEE" w:rsidP="00C63DEE">
      <w:pPr>
        <w:pStyle w:val="ListParagraph"/>
        <w:spacing w:after="0" w:line="240" w:lineRule="auto"/>
        <w:ind w:left="0"/>
        <w:jc w:val="both"/>
        <w:rPr>
          <w:rFonts w:ascii="Arial" w:hAnsi="Arial"/>
          <w:b/>
          <w:color w:val="000000" w:themeColor="text1"/>
          <w:sz w:val="24"/>
        </w:rPr>
      </w:pPr>
    </w:p>
    <w:sectPr w:rsidR="00C63DEE" w:rsidRPr="004F4090" w:rsidSect="00666C9E">
      <w:headerReference w:type="default" r:id="rId15"/>
      <w:footerReference w:type="default" r:id="rId16"/>
      <w:pgSz w:w="11909" w:h="16834" w:code="9"/>
      <w:pgMar w:top="1418" w:right="1419" w:bottom="709" w:left="144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ADB9" w14:textId="77777777" w:rsidR="00900B33" w:rsidRDefault="00900B33" w:rsidP="003713D0">
      <w:pPr>
        <w:spacing w:after="0" w:line="240" w:lineRule="auto"/>
      </w:pPr>
      <w:r>
        <w:separator/>
      </w:r>
    </w:p>
  </w:endnote>
  <w:endnote w:type="continuationSeparator" w:id="0">
    <w:p w14:paraId="6B3A8600" w14:textId="77777777" w:rsidR="00900B33" w:rsidRDefault="00900B33" w:rsidP="003713D0">
      <w:pPr>
        <w:spacing w:after="0" w:line="240" w:lineRule="auto"/>
      </w:pPr>
      <w:r>
        <w:continuationSeparator/>
      </w:r>
    </w:p>
  </w:endnote>
  <w:endnote w:type="continuationNotice" w:id="1">
    <w:p w14:paraId="39E032F8" w14:textId="77777777" w:rsidR="00900B33" w:rsidRDefault="00900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97641"/>
      <w:docPartObj>
        <w:docPartGallery w:val="Page Numbers (Bottom of Page)"/>
        <w:docPartUnique/>
      </w:docPartObj>
    </w:sdtPr>
    <w:sdtEndPr/>
    <w:sdtContent>
      <w:sdt>
        <w:sdtPr>
          <w:id w:val="-1959949710"/>
          <w:docPartObj>
            <w:docPartGallery w:val="Page Numbers (Top of Page)"/>
            <w:docPartUnique/>
          </w:docPartObj>
        </w:sdtPr>
        <w:sdtEndPr/>
        <w:sdtContent>
          <w:p w14:paraId="0AB29B9D" w14:textId="21160844" w:rsidR="00974301" w:rsidRDefault="0097430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046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046A">
              <w:rPr>
                <w:b/>
                <w:bCs/>
                <w:noProof/>
              </w:rPr>
              <w:t>5</w:t>
            </w:r>
            <w:r>
              <w:rPr>
                <w:b/>
                <w:bCs/>
                <w:sz w:val="24"/>
                <w:szCs w:val="24"/>
              </w:rPr>
              <w:fldChar w:fldCharType="end"/>
            </w:r>
          </w:p>
        </w:sdtContent>
      </w:sdt>
    </w:sdtContent>
  </w:sdt>
  <w:p w14:paraId="010894E7" w14:textId="77777777" w:rsidR="00974301" w:rsidRPr="008D6461" w:rsidRDefault="00974301">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633D" w14:textId="77777777" w:rsidR="00900B33" w:rsidRDefault="00900B33" w:rsidP="003713D0">
      <w:pPr>
        <w:spacing w:after="0" w:line="240" w:lineRule="auto"/>
      </w:pPr>
      <w:r>
        <w:separator/>
      </w:r>
    </w:p>
  </w:footnote>
  <w:footnote w:type="continuationSeparator" w:id="0">
    <w:p w14:paraId="3B24079B" w14:textId="77777777" w:rsidR="00900B33" w:rsidRDefault="00900B33" w:rsidP="003713D0">
      <w:pPr>
        <w:spacing w:after="0" w:line="240" w:lineRule="auto"/>
      </w:pPr>
      <w:r>
        <w:continuationSeparator/>
      </w:r>
    </w:p>
  </w:footnote>
  <w:footnote w:type="continuationNotice" w:id="1">
    <w:p w14:paraId="14D95820" w14:textId="77777777" w:rsidR="00900B33" w:rsidRDefault="00900B33">
      <w:pPr>
        <w:spacing w:after="0" w:line="240" w:lineRule="auto"/>
      </w:pPr>
    </w:p>
  </w:footnote>
  <w:footnote w:id="2">
    <w:p w14:paraId="0FFCB4CC" w14:textId="48670133" w:rsidR="00FE3B1A" w:rsidRPr="00573275" w:rsidRDefault="00FE3B1A" w:rsidP="00FE3B1A">
      <w:pPr>
        <w:pStyle w:val="FootnoteText"/>
        <w:jc w:val="both"/>
        <w:rPr>
          <w:lang w:val="en-US"/>
        </w:rPr>
      </w:pPr>
      <w:r>
        <w:rPr>
          <w:rStyle w:val="FootnoteReference"/>
        </w:rPr>
        <w:footnoteRef/>
      </w:r>
      <w:r>
        <w:t xml:space="preserve"> </w:t>
      </w:r>
      <w:r w:rsidRPr="00437A34">
        <w:rPr>
          <w:rFonts w:ascii="Arial" w:hAnsi="Arial" w:cs="Arial" w:hint="eastAsia"/>
          <w:sz w:val="20"/>
          <w:lang w:eastAsia="ja-JP"/>
        </w:rPr>
        <w:t xml:space="preserve">19 areas are as follows: (1)customs procedures, (2)trade and investment promotion, (3)small and medium enterprises, (4)human resources management and development, (5)tourism, (6)science and technology, (7)financial services, (8)information and community technology, (9)agriculture, fisheries, livestock, plantation commodities and forestry, (10) intellectual property, (11)environmental industry, (12) broadcasting, (13) construction technology, (14)standard and </w:t>
      </w:r>
      <w:r w:rsidRPr="00437A34">
        <w:rPr>
          <w:rFonts w:ascii="Arial" w:hAnsi="Arial" w:cs="Arial"/>
          <w:sz w:val="20"/>
          <w:lang w:eastAsia="ja-JP"/>
        </w:rPr>
        <w:t>conformity</w:t>
      </w:r>
      <w:r w:rsidRPr="00437A34">
        <w:rPr>
          <w:rFonts w:ascii="Arial" w:hAnsi="Arial" w:cs="Arial" w:hint="eastAsia"/>
          <w:sz w:val="20"/>
          <w:lang w:eastAsia="ja-JP"/>
        </w:rPr>
        <w:t xml:space="preserve"> assessment and sanitary and phytosanitary measures, (15)mining, (16)energy, (17)natural resources, (18) shipbuilding and maritime transport. (19)</w:t>
      </w:r>
      <w:r>
        <w:rPr>
          <w:rFonts w:ascii="Arial" w:hAnsi="Arial" w:cs="Arial"/>
          <w:sz w:val="20"/>
          <w:lang w:eastAsia="ja-JP"/>
        </w:rPr>
        <w:t xml:space="preserve"> </w:t>
      </w:r>
      <w:r w:rsidRPr="00437A34">
        <w:rPr>
          <w:rFonts w:ascii="Arial" w:hAnsi="Arial" w:cs="Arial" w:hint="eastAsia"/>
          <w:sz w:val="20"/>
          <w:lang w:eastAsia="ja-JP"/>
        </w:rPr>
        <w:t>film</w:t>
      </w:r>
    </w:p>
  </w:footnote>
  <w:footnote w:id="3">
    <w:p w14:paraId="45B56C8E" w14:textId="222F868D" w:rsidR="002D5EE3" w:rsidRPr="00AD75C1" w:rsidRDefault="002D5EE3" w:rsidP="002D5EE3">
      <w:pPr>
        <w:jc w:val="both"/>
        <w:rPr>
          <w:i/>
          <w:sz w:val="24"/>
        </w:rPr>
      </w:pPr>
      <w:r>
        <w:rPr>
          <w:rStyle w:val="FootnoteReference"/>
        </w:rPr>
        <w:footnoteRef/>
      </w:r>
      <w:r>
        <w:t xml:space="preserve"> </w:t>
      </w:r>
      <w:r w:rsidRPr="00AD75C1">
        <w:rPr>
          <w:i/>
          <w:sz w:val="24"/>
        </w:rPr>
        <w:t>The duration f</w:t>
      </w:r>
      <w:r>
        <w:rPr>
          <w:i/>
          <w:sz w:val="24"/>
        </w:rPr>
        <w:t>or the revision is not counted</w:t>
      </w:r>
    </w:p>
    <w:p w14:paraId="652AEE2A" w14:textId="7BF373FB" w:rsidR="002D5EE3" w:rsidRPr="002D5EE3" w:rsidRDefault="002D5EE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EBA7" w14:textId="2619F985" w:rsidR="00974301" w:rsidRPr="00573275" w:rsidRDefault="00B540AC" w:rsidP="00573275">
    <w:pPr>
      <w:pStyle w:val="Header"/>
      <w:tabs>
        <w:tab w:val="clear" w:pos="9360"/>
      </w:tabs>
      <w:jc w:val="right"/>
      <w:rPr>
        <w:rFonts w:ascii="Arial" w:hAnsi="Arial"/>
        <w:i/>
        <w:lang w:val="en-US"/>
      </w:rPr>
    </w:pPr>
    <w:r>
      <w:rPr>
        <w:rFonts w:ascii="Arial" w:hAnsi="Arial" w:cs="Arial"/>
        <w:i/>
        <w:lang w:val="en-US"/>
      </w:rPr>
      <w:t xml:space="preserve">As of </w:t>
    </w:r>
    <w:r w:rsidR="002E046A">
      <w:rPr>
        <w:rFonts w:ascii="Arial" w:hAnsi="Arial" w:cs="Arial"/>
        <w:i/>
        <w:lang w:val="en-US"/>
      </w:rPr>
      <w:t>25</w:t>
    </w:r>
    <w:r w:rsidR="00F447A1">
      <w:rPr>
        <w:rFonts w:ascii="Arial" w:hAnsi="Arial" w:cs="Arial"/>
        <w:i/>
        <w:lang w:val="en-US"/>
      </w:rPr>
      <w:t xml:space="preserve"> July</w:t>
    </w:r>
    <w:r w:rsidR="0053312E">
      <w:rPr>
        <w:rFonts w:ascii="Arial" w:hAnsi="Arial" w:cs="Arial"/>
        <w:i/>
        <w:lang w:val="en-US"/>
      </w:rPr>
      <w:t xml:space="preserve"> </w:t>
    </w:r>
    <w:r w:rsidR="00B66984">
      <w:rPr>
        <w:rFonts w:ascii="Arial" w:hAnsi="Arial" w:cs="Arial"/>
        <w:i/>
        <w:lang w:val="en-US"/>
      </w:rPr>
      <w:t>2019</w:t>
    </w:r>
    <w:r w:rsidR="00974301">
      <w:rPr>
        <w:rFonts w:ascii="Arial" w:hAnsi="Arial" w:cs="Arial"/>
        <w:i/>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42B"/>
    <w:multiLevelType w:val="hybridMultilevel"/>
    <w:tmpl w:val="B5261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5617"/>
    <w:multiLevelType w:val="hybridMultilevel"/>
    <w:tmpl w:val="008A2F0A"/>
    <w:lvl w:ilvl="0" w:tplc="36C0DDB8">
      <w:start w:val="1"/>
      <w:numFmt w:val="lowerRoman"/>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E1F6B7E"/>
    <w:multiLevelType w:val="hybridMultilevel"/>
    <w:tmpl w:val="FEA6EAAE"/>
    <w:lvl w:ilvl="0" w:tplc="C3B6B740">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F1812"/>
    <w:multiLevelType w:val="hybridMultilevel"/>
    <w:tmpl w:val="805011BC"/>
    <w:lvl w:ilvl="0" w:tplc="CE3097C2">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0B4E7E"/>
    <w:multiLevelType w:val="hybridMultilevel"/>
    <w:tmpl w:val="4B8EE808"/>
    <w:lvl w:ilvl="0" w:tplc="264C7CFC">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376BA"/>
    <w:multiLevelType w:val="hybridMultilevel"/>
    <w:tmpl w:val="FE26B748"/>
    <w:lvl w:ilvl="0" w:tplc="36C0DD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F6789"/>
    <w:multiLevelType w:val="hybridMultilevel"/>
    <w:tmpl w:val="5E30B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2280E"/>
    <w:multiLevelType w:val="hybridMultilevel"/>
    <w:tmpl w:val="B37E84E4"/>
    <w:lvl w:ilvl="0" w:tplc="08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E693555"/>
    <w:multiLevelType w:val="hybridMultilevel"/>
    <w:tmpl w:val="43988236"/>
    <w:lvl w:ilvl="0" w:tplc="D018B438">
      <w:start w:val="1"/>
      <w:numFmt w:val="decimal"/>
      <w:lvlText w:val="%1."/>
      <w:lvlJc w:val="left"/>
      <w:pPr>
        <w:tabs>
          <w:tab w:val="num" w:pos="360"/>
        </w:tabs>
        <w:ind w:left="360" w:hanging="360"/>
      </w:pPr>
      <w:rPr>
        <w:rFonts w:hint="default"/>
        <w:b w:val="0"/>
      </w:rPr>
    </w:lvl>
    <w:lvl w:ilvl="1" w:tplc="6CF8DE6A">
      <w:numFmt w:val="none"/>
      <w:lvlText w:val=""/>
      <w:lvlJc w:val="left"/>
      <w:pPr>
        <w:tabs>
          <w:tab w:val="num" w:pos="360"/>
        </w:tabs>
      </w:pPr>
    </w:lvl>
    <w:lvl w:ilvl="2" w:tplc="146A97C6">
      <w:numFmt w:val="none"/>
      <w:lvlText w:val=""/>
      <w:lvlJc w:val="left"/>
      <w:pPr>
        <w:tabs>
          <w:tab w:val="num" w:pos="360"/>
        </w:tabs>
      </w:pPr>
    </w:lvl>
    <w:lvl w:ilvl="3" w:tplc="2A66E2E8">
      <w:numFmt w:val="none"/>
      <w:lvlText w:val=""/>
      <w:lvlJc w:val="left"/>
      <w:pPr>
        <w:tabs>
          <w:tab w:val="num" w:pos="360"/>
        </w:tabs>
      </w:pPr>
    </w:lvl>
    <w:lvl w:ilvl="4" w:tplc="89003002">
      <w:numFmt w:val="none"/>
      <w:lvlText w:val=""/>
      <w:lvlJc w:val="left"/>
      <w:pPr>
        <w:tabs>
          <w:tab w:val="num" w:pos="360"/>
        </w:tabs>
      </w:pPr>
    </w:lvl>
    <w:lvl w:ilvl="5" w:tplc="4874F97E">
      <w:numFmt w:val="none"/>
      <w:lvlText w:val=""/>
      <w:lvlJc w:val="left"/>
      <w:pPr>
        <w:tabs>
          <w:tab w:val="num" w:pos="360"/>
        </w:tabs>
      </w:pPr>
    </w:lvl>
    <w:lvl w:ilvl="6" w:tplc="031ED460">
      <w:numFmt w:val="none"/>
      <w:lvlText w:val=""/>
      <w:lvlJc w:val="left"/>
      <w:pPr>
        <w:tabs>
          <w:tab w:val="num" w:pos="360"/>
        </w:tabs>
      </w:pPr>
    </w:lvl>
    <w:lvl w:ilvl="7" w:tplc="0554EA34">
      <w:numFmt w:val="none"/>
      <w:lvlText w:val=""/>
      <w:lvlJc w:val="left"/>
      <w:pPr>
        <w:tabs>
          <w:tab w:val="num" w:pos="360"/>
        </w:tabs>
      </w:pPr>
    </w:lvl>
    <w:lvl w:ilvl="8" w:tplc="717C1712">
      <w:numFmt w:val="none"/>
      <w:lvlText w:val=""/>
      <w:lvlJc w:val="left"/>
      <w:pPr>
        <w:tabs>
          <w:tab w:val="num" w:pos="360"/>
        </w:tabs>
      </w:pPr>
    </w:lvl>
  </w:abstractNum>
  <w:abstractNum w:abstractNumId="9" w15:restartNumberingAfterBreak="0">
    <w:nsid w:val="42DD4FCA"/>
    <w:multiLevelType w:val="multilevel"/>
    <w:tmpl w:val="670A489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4CDA7D70"/>
    <w:multiLevelType w:val="hybridMultilevel"/>
    <w:tmpl w:val="1F96FD30"/>
    <w:lvl w:ilvl="0" w:tplc="28B2C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278FA"/>
    <w:multiLevelType w:val="multilevel"/>
    <w:tmpl w:val="2026B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DA2C28"/>
    <w:multiLevelType w:val="hybridMultilevel"/>
    <w:tmpl w:val="4710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436092"/>
    <w:multiLevelType w:val="hybridMultilevel"/>
    <w:tmpl w:val="48485D8A"/>
    <w:lvl w:ilvl="0" w:tplc="30C67E2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83024"/>
    <w:multiLevelType w:val="hybridMultilevel"/>
    <w:tmpl w:val="2B4C5BB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C0617BD"/>
    <w:multiLevelType w:val="hybridMultilevel"/>
    <w:tmpl w:val="6B6A2398"/>
    <w:lvl w:ilvl="0" w:tplc="36C0DD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BA7B7E"/>
    <w:multiLevelType w:val="multilevel"/>
    <w:tmpl w:val="E64EB9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4E85"/>
    <w:multiLevelType w:val="hybridMultilevel"/>
    <w:tmpl w:val="2098D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A5F59"/>
    <w:multiLevelType w:val="multilevel"/>
    <w:tmpl w:val="4FF6173A"/>
    <w:lvl w:ilvl="0">
      <w:start w:val="5"/>
      <w:numFmt w:val="decimal"/>
      <w:lvlText w:val="%1."/>
      <w:lvlJc w:val="left"/>
      <w:pPr>
        <w:ind w:left="360" w:hanging="360"/>
      </w:pPr>
      <w:rPr>
        <w:rFonts w:hint="default"/>
        <w:b/>
        <w:u w:val="none"/>
      </w:rPr>
    </w:lvl>
    <w:lvl w:ilvl="1">
      <w:start w:val="1"/>
      <w:numFmt w:val="decimal"/>
      <w:lvlText w:val="5-%2."/>
      <w:lvlJc w:val="left"/>
      <w:pPr>
        <w:ind w:left="540" w:hanging="360"/>
      </w:pPr>
      <w:rPr>
        <w:rFonts w:hint="default"/>
        <w:b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69AD4D7C"/>
    <w:multiLevelType w:val="multilevel"/>
    <w:tmpl w:val="2026B3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605577"/>
    <w:multiLevelType w:val="hybridMultilevel"/>
    <w:tmpl w:val="29F87984"/>
    <w:lvl w:ilvl="0" w:tplc="B1D48CA6">
      <w:start w:val="1"/>
      <w:numFmt w:val="decimal"/>
      <w:lvlText w:val="4-%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F0D58C7"/>
    <w:multiLevelType w:val="hybridMultilevel"/>
    <w:tmpl w:val="324A9C8E"/>
    <w:lvl w:ilvl="0" w:tplc="FFFFFFFF">
      <w:start w:val="1"/>
      <w:numFmt w:val="bullet"/>
      <w:lvlText w:val=""/>
      <w:lvlJc w:val="left"/>
      <w:pPr>
        <w:tabs>
          <w:tab w:val="num" w:pos="754"/>
        </w:tabs>
        <w:ind w:left="754" w:hanging="187"/>
      </w:pPr>
      <w:rPr>
        <w:rFonts w:ascii="Symbol" w:hAnsi="Symbol" w:hint="default"/>
        <w:color w:val="auto"/>
        <w:lang w:val="en-G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47100286">
    <w:abstractNumId w:val="7"/>
  </w:num>
  <w:num w:numId="2" w16cid:durableId="160045681">
    <w:abstractNumId w:val="11"/>
  </w:num>
  <w:num w:numId="3" w16cid:durableId="1977568537">
    <w:abstractNumId w:val="16"/>
  </w:num>
  <w:num w:numId="4" w16cid:durableId="42951814">
    <w:abstractNumId w:val="8"/>
  </w:num>
  <w:num w:numId="5" w16cid:durableId="1525705146">
    <w:abstractNumId w:val="17"/>
  </w:num>
  <w:num w:numId="6" w16cid:durableId="1305890176">
    <w:abstractNumId w:val="0"/>
  </w:num>
  <w:num w:numId="7" w16cid:durableId="1220432639">
    <w:abstractNumId w:val="4"/>
  </w:num>
  <w:num w:numId="8" w16cid:durableId="1534003795">
    <w:abstractNumId w:val="2"/>
  </w:num>
  <w:num w:numId="9" w16cid:durableId="924266127">
    <w:abstractNumId w:val="5"/>
  </w:num>
  <w:num w:numId="10" w16cid:durableId="1858344156">
    <w:abstractNumId w:val="15"/>
  </w:num>
  <w:num w:numId="11" w16cid:durableId="2134444614">
    <w:abstractNumId w:val="9"/>
  </w:num>
  <w:num w:numId="12" w16cid:durableId="1875344707">
    <w:abstractNumId w:val="18"/>
  </w:num>
  <w:num w:numId="13" w16cid:durableId="148449339">
    <w:abstractNumId w:val="21"/>
  </w:num>
  <w:num w:numId="14" w16cid:durableId="657341200">
    <w:abstractNumId w:val="20"/>
  </w:num>
  <w:num w:numId="15" w16cid:durableId="435364855">
    <w:abstractNumId w:val="6"/>
  </w:num>
  <w:num w:numId="16" w16cid:durableId="1097600100">
    <w:abstractNumId w:val="14"/>
  </w:num>
  <w:num w:numId="17" w16cid:durableId="1128475460">
    <w:abstractNumId w:val="12"/>
  </w:num>
  <w:num w:numId="18" w16cid:durableId="1651447626">
    <w:abstractNumId w:val="10"/>
  </w:num>
  <w:num w:numId="19" w16cid:durableId="1118911623">
    <w:abstractNumId w:val="3"/>
  </w:num>
  <w:num w:numId="20" w16cid:durableId="1172597908">
    <w:abstractNumId w:val="19"/>
  </w:num>
  <w:num w:numId="21" w16cid:durableId="1702827416">
    <w:abstractNumId w:val="13"/>
  </w:num>
  <w:num w:numId="22" w16cid:durableId="189611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EB"/>
    <w:rsid w:val="0000182E"/>
    <w:rsid w:val="000022AF"/>
    <w:rsid w:val="00014129"/>
    <w:rsid w:val="00031429"/>
    <w:rsid w:val="00034CBD"/>
    <w:rsid w:val="0004149F"/>
    <w:rsid w:val="000501B9"/>
    <w:rsid w:val="00060CF1"/>
    <w:rsid w:val="00062B8F"/>
    <w:rsid w:val="00066B2A"/>
    <w:rsid w:val="00074111"/>
    <w:rsid w:val="00075057"/>
    <w:rsid w:val="000767AF"/>
    <w:rsid w:val="000805E3"/>
    <w:rsid w:val="00087548"/>
    <w:rsid w:val="00097BED"/>
    <w:rsid w:val="000A1354"/>
    <w:rsid w:val="000A1EF9"/>
    <w:rsid w:val="000A51A2"/>
    <w:rsid w:val="000A539E"/>
    <w:rsid w:val="000A6437"/>
    <w:rsid w:val="000A6838"/>
    <w:rsid w:val="000C6627"/>
    <w:rsid w:val="000E2F1D"/>
    <w:rsid w:val="000F1A0E"/>
    <w:rsid w:val="000F1A11"/>
    <w:rsid w:val="00105896"/>
    <w:rsid w:val="00112D00"/>
    <w:rsid w:val="00131809"/>
    <w:rsid w:val="00154A34"/>
    <w:rsid w:val="001626E3"/>
    <w:rsid w:val="001723E4"/>
    <w:rsid w:val="00173AE3"/>
    <w:rsid w:val="00177C7C"/>
    <w:rsid w:val="001927D5"/>
    <w:rsid w:val="00193216"/>
    <w:rsid w:val="001955DF"/>
    <w:rsid w:val="001A0E80"/>
    <w:rsid w:val="001A402F"/>
    <w:rsid w:val="001A5FA3"/>
    <w:rsid w:val="001A63FE"/>
    <w:rsid w:val="001C11FC"/>
    <w:rsid w:val="001D33E9"/>
    <w:rsid w:val="001D718B"/>
    <w:rsid w:val="001E437A"/>
    <w:rsid w:val="001E72C6"/>
    <w:rsid w:val="001F14A8"/>
    <w:rsid w:val="001F4078"/>
    <w:rsid w:val="002017F9"/>
    <w:rsid w:val="00202EEF"/>
    <w:rsid w:val="00215B28"/>
    <w:rsid w:val="0021722F"/>
    <w:rsid w:val="00224228"/>
    <w:rsid w:val="00233A77"/>
    <w:rsid w:val="00253CB6"/>
    <w:rsid w:val="002616F4"/>
    <w:rsid w:val="00261873"/>
    <w:rsid w:val="00272E94"/>
    <w:rsid w:val="002736A2"/>
    <w:rsid w:val="0029500C"/>
    <w:rsid w:val="00296AFB"/>
    <w:rsid w:val="002971DE"/>
    <w:rsid w:val="002A3F37"/>
    <w:rsid w:val="002A4A47"/>
    <w:rsid w:val="002A7A8C"/>
    <w:rsid w:val="002B0DEB"/>
    <w:rsid w:val="002B184C"/>
    <w:rsid w:val="002D54B3"/>
    <w:rsid w:val="002D5EE3"/>
    <w:rsid w:val="002E046A"/>
    <w:rsid w:val="002E3BF5"/>
    <w:rsid w:val="002F6B73"/>
    <w:rsid w:val="00306371"/>
    <w:rsid w:val="0031081D"/>
    <w:rsid w:val="003126A4"/>
    <w:rsid w:val="00315DE6"/>
    <w:rsid w:val="003162B9"/>
    <w:rsid w:val="00325E81"/>
    <w:rsid w:val="00337161"/>
    <w:rsid w:val="0034699D"/>
    <w:rsid w:val="00347C74"/>
    <w:rsid w:val="00354809"/>
    <w:rsid w:val="00356496"/>
    <w:rsid w:val="003611C4"/>
    <w:rsid w:val="003635CF"/>
    <w:rsid w:val="003713D0"/>
    <w:rsid w:val="00377EA7"/>
    <w:rsid w:val="00383431"/>
    <w:rsid w:val="00387ECB"/>
    <w:rsid w:val="003963A7"/>
    <w:rsid w:val="003A4B08"/>
    <w:rsid w:val="003B0C4E"/>
    <w:rsid w:val="003C55C7"/>
    <w:rsid w:val="003E1968"/>
    <w:rsid w:val="003E2DDC"/>
    <w:rsid w:val="003F058E"/>
    <w:rsid w:val="003F1D59"/>
    <w:rsid w:val="00403E24"/>
    <w:rsid w:val="00404676"/>
    <w:rsid w:val="00404714"/>
    <w:rsid w:val="004159B3"/>
    <w:rsid w:val="0042370A"/>
    <w:rsid w:val="00424BE7"/>
    <w:rsid w:val="004313EF"/>
    <w:rsid w:val="00437A34"/>
    <w:rsid w:val="004423F7"/>
    <w:rsid w:val="004458A7"/>
    <w:rsid w:val="0046400F"/>
    <w:rsid w:val="00470628"/>
    <w:rsid w:val="00471EC5"/>
    <w:rsid w:val="00472CCA"/>
    <w:rsid w:val="004731AB"/>
    <w:rsid w:val="00475343"/>
    <w:rsid w:val="0047629F"/>
    <w:rsid w:val="0048072B"/>
    <w:rsid w:val="00494383"/>
    <w:rsid w:val="004977DA"/>
    <w:rsid w:val="004A3AF2"/>
    <w:rsid w:val="004A6105"/>
    <w:rsid w:val="004B387B"/>
    <w:rsid w:val="004B3999"/>
    <w:rsid w:val="004B5345"/>
    <w:rsid w:val="004C0EF9"/>
    <w:rsid w:val="004C23A2"/>
    <w:rsid w:val="004C481F"/>
    <w:rsid w:val="004C5FCC"/>
    <w:rsid w:val="004E3064"/>
    <w:rsid w:val="004F0CC1"/>
    <w:rsid w:val="004F4090"/>
    <w:rsid w:val="004F6689"/>
    <w:rsid w:val="00511E72"/>
    <w:rsid w:val="00512DEC"/>
    <w:rsid w:val="005175B1"/>
    <w:rsid w:val="00527D49"/>
    <w:rsid w:val="0053312E"/>
    <w:rsid w:val="00537BA1"/>
    <w:rsid w:val="0054052C"/>
    <w:rsid w:val="0054128F"/>
    <w:rsid w:val="0054483C"/>
    <w:rsid w:val="00550DDE"/>
    <w:rsid w:val="00553C09"/>
    <w:rsid w:val="00553E9B"/>
    <w:rsid w:val="0057078D"/>
    <w:rsid w:val="00573275"/>
    <w:rsid w:val="00575D2D"/>
    <w:rsid w:val="00583572"/>
    <w:rsid w:val="00590AD1"/>
    <w:rsid w:val="00594E11"/>
    <w:rsid w:val="00595824"/>
    <w:rsid w:val="005A0548"/>
    <w:rsid w:val="005A0D99"/>
    <w:rsid w:val="005A35C7"/>
    <w:rsid w:val="005A6125"/>
    <w:rsid w:val="005C23BF"/>
    <w:rsid w:val="005F194D"/>
    <w:rsid w:val="005F6F2E"/>
    <w:rsid w:val="005F7015"/>
    <w:rsid w:val="00601A91"/>
    <w:rsid w:val="00610218"/>
    <w:rsid w:val="0062402A"/>
    <w:rsid w:val="00627920"/>
    <w:rsid w:val="006434F6"/>
    <w:rsid w:val="006506D7"/>
    <w:rsid w:val="006511E7"/>
    <w:rsid w:val="0065151C"/>
    <w:rsid w:val="00656C59"/>
    <w:rsid w:val="00657784"/>
    <w:rsid w:val="00665157"/>
    <w:rsid w:val="00666C9E"/>
    <w:rsid w:val="00667DA0"/>
    <w:rsid w:val="00676E88"/>
    <w:rsid w:val="00683962"/>
    <w:rsid w:val="006924DE"/>
    <w:rsid w:val="006A2DF4"/>
    <w:rsid w:val="006A48F8"/>
    <w:rsid w:val="006A6AE0"/>
    <w:rsid w:val="006B144D"/>
    <w:rsid w:val="006B3ED4"/>
    <w:rsid w:val="006C6627"/>
    <w:rsid w:val="006C7F59"/>
    <w:rsid w:val="006D29BA"/>
    <w:rsid w:val="006D60B9"/>
    <w:rsid w:val="006E4B2F"/>
    <w:rsid w:val="006F5BCA"/>
    <w:rsid w:val="0070510D"/>
    <w:rsid w:val="00716C56"/>
    <w:rsid w:val="00716DBC"/>
    <w:rsid w:val="00722A5B"/>
    <w:rsid w:val="007253C6"/>
    <w:rsid w:val="00732608"/>
    <w:rsid w:val="007348C7"/>
    <w:rsid w:val="0073763E"/>
    <w:rsid w:val="00753C8E"/>
    <w:rsid w:val="00756F33"/>
    <w:rsid w:val="00765694"/>
    <w:rsid w:val="007659BF"/>
    <w:rsid w:val="00772531"/>
    <w:rsid w:val="0077663E"/>
    <w:rsid w:val="00784A31"/>
    <w:rsid w:val="007872F1"/>
    <w:rsid w:val="00787D00"/>
    <w:rsid w:val="00793E5A"/>
    <w:rsid w:val="00797408"/>
    <w:rsid w:val="007A00F2"/>
    <w:rsid w:val="007B2E4D"/>
    <w:rsid w:val="007C3E09"/>
    <w:rsid w:val="007D26D1"/>
    <w:rsid w:val="007D3290"/>
    <w:rsid w:val="007E4558"/>
    <w:rsid w:val="007E4D93"/>
    <w:rsid w:val="007E7CE8"/>
    <w:rsid w:val="007F4FEB"/>
    <w:rsid w:val="0080199E"/>
    <w:rsid w:val="00802705"/>
    <w:rsid w:val="008175B8"/>
    <w:rsid w:val="00827997"/>
    <w:rsid w:val="008336EB"/>
    <w:rsid w:val="00834B10"/>
    <w:rsid w:val="008373E8"/>
    <w:rsid w:val="00844A86"/>
    <w:rsid w:val="008516BC"/>
    <w:rsid w:val="00852423"/>
    <w:rsid w:val="00854D0A"/>
    <w:rsid w:val="00864A3B"/>
    <w:rsid w:val="008662D8"/>
    <w:rsid w:val="00870265"/>
    <w:rsid w:val="00871075"/>
    <w:rsid w:val="00873F39"/>
    <w:rsid w:val="00880C4B"/>
    <w:rsid w:val="00890FDA"/>
    <w:rsid w:val="008C0AF2"/>
    <w:rsid w:val="008D019D"/>
    <w:rsid w:val="00900B33"/>
    <w:rsid w:val="00912802"/>
    <w:rsid w:val="009177E6"/>
    <w:rsid w:val="00944F8B"/>
    <w:rsid w:val="00947B25"/>
    <w:rsid w:val="00955382"/>
    <w:rsid w:val="0095740B"/>
    <w:rsid w:val="009607DC"/>
    <w:rsid w:val="00960ADC"/>
    <w:rsid w:val="009732D3"/>
    <w:rsid w:val="00974301"/>
    <w:rsid w:val="00992800"/>
    <w:rsid w:val="00993763"/>
    <w:rsid w:val="00994005"/>
    <w:rsid w:val="0099431A"/>
    <w:rsid w:val="00997E45"/>
    <w:rsid w:val="009A008D"/>
    <w:rsid w:val="009A3956"/>
    <w:rsid w:val="009B1443"/>
    <w:rsid w:val="009B1B0E"/>
    <w:rsid w:val="009B58D4"/>
    <w:rsid w:val="009B6749"/>
    <w:rsid w:val="009B7733"/>
    <w:rsid w:val="009B7E29"/>
    <w:rsid w:val="009C76E4"/>
    <w:rsid w:val="009D190E"/>
    <w:rsid w:val="009D5609"/>
    <w:rsid w:val="009E770C"/>
    <w:rsid w:val="009F543C"/>
    <w:rsid w:val="009F6F5F"/>
    <w:rsid w:val="009F72A5"/>
    <w:rsid w:val="00A07D2F"/>
    <w:rsid w:val="00A16D77"/>
    <w:rsid w:val="00A212D6"/>
    <w:rsid w:val="00A21AA8"/>
    <w:rsid w:val="00A22ACA"/>
    <w:rsid w:val="00A251AF"/>
    <w:rsid w:val="00A27DC9"/>
    <w:rsid w:val="00A3039C"/>
    <w:rsid w:val="00A37C7C"/>
    <w:rsid w:val="00A42ACC"/>
    <w:rsid w:val="00A45E2C"/>
    <w:rsid w:val="00A46439"/>
    <w:rsid w:val="00A54774"/>
    <w:rsid w:val="00A57498"/>
    <w:rsid w:val="00A70CC8"/>
    <w:rsid w:val="00AA15A4"/>
    <w:rsid w:val="00AA2291"/>
    <w:rsid w:val="00AB60E7"/>
    <w:rsid w:val="00AB62B5"/>
    <w:rsid w:val="00AD1933"/>
    <w:rsid w:val="00AD1EBC"/>
    <w:rsid w:val="00AD56DE"/>
    <w:rsid w:val="00AD58F1"/>
    <w:rsid w:val="00AE07BC"/>
    <w:rsid w:val="00AE278F"/>
    <w:rsid w:val="00AE5268"/>
    <w:rsid w:val="00AE540A"/>
    <w:rsid w:val="00AF026D"/>
    <w:rsid w:val="00AF3AF5"/>
    <w:rsid w:val="00B12BD0"/>
    <w:rsid w:val="00B205CB"/>
    <w:rsid w:val="00B20DE3"/>
    <w:rsid w:val="00B210EB"/>
    <w:rsid w:val="00B2187A"/>
    <w:rsid w:val="00B533FC"/>
    <w:rsid w:val="00B540AC"/>
    <w:rsid w:val="00B5444C"/>
    <w:rsid w:val="00B64A3F"/>
    <w:rsid w:val="00B651C7"/>
    <w:rsid w:val="00B66590"/>
    <w:rsid w:val="00B66984"/>
    <w:rsid w:val="00B72032"/>
    <w:rsid w:val="00B73862"/>
    <w:rsid w:val="00B73ADA"/>
    <w:rsid w:val="00B77AEE"/>
    <w:rsid w:val="00B852D1"/>
    <w:rsid w:val="00B978F0"/>
    <w:rsid w:val="00BA7266"/>
    <w:rsid w:val="00BB29F0"/>
    <w:rsid w:val="00BB2DF8"/>
    <w:rsid w:val="00BB5328"/>
    <w:rsid w:val="00BC0E7B"/>
    <w:rsid w:val="00BD0BF0"/>
    <w:rsid w:val="00BF38D7"/>
    <w:rsid w:val="00BF43CC"/>
    <w:rsid w:val="00BF7012"/>
    <w:rsid w:val="00BF7E5B"/>
    <w:rsid w:val="00C0050F"/>
    <w:rsid w:val="00C06F74"/>
    <w:rsid w:val="00C20A66"/>
    <w:rsid w:val="00C2328C"/>
    <w:rsid w:val="00C26C67"/>
    <w:rsid w:val="00C34604"/>
    <w:rsid w:val="00C34B49"/>
    <w:rsid w:val="00C37B82"/>
    <w:rsid w:val="00C422C6"/>
    <w:rsid w:val="00C44570"/>
    <w:rsid w:val="00C63DEE"/>
    <w:rsid w:val="00C65678"/>
    <w:rsid w:val="00C733F4"/>
    <w:rsid w:val="00C74583"/>
    <w:rsid w:val="00C85FA8"/>
    <w:rsid w:val="00CA3F22"/>
    <w:rsid w:val="00CA5730"/>
    <w:rsid w:val="00CC0960"/>
    <w:rsid w:val="00CD52F3"/>
    <w:rsid w:val="00CE1488"/>
    <w:rsid w:val="00CE672A"/>
    <w:rsid w:val="00CF1FDC"/>
    <w:rsid w:val="00D068D9"/>
    <w:rsid w:val="00D2429F"/>
    <w:rsid w:val="00D272B7"/>
    <w:rsid w:val="00D470EA"/>
    <w:rsid w:val="00D47328"/>
    <w:rsid w:val="00D5431F"/>
    <w:rsid w:val="00D61070"/>
    <w:rsid w:val="00D73608"/>
    <w:rsid w:val="00D857B7"/>
    <w:rsid w:val="00D93A82"/>
    <w:rsid w:val="00DA3BC2"/>
    <w:rsid w:val="00DB00E8"/>
    <w:rsid w:val="00DB65C3"/>
    <w:rsid w:val="00DC0A70"/>
    <w:rsid w:val="00DC3E96"/>
    <w:rsid w:val="00DC4A98"/>
    <w:rsid w:val="00DC7C88"/>
    <w:rsid w:val="00DD523D"/>
    <w:rsid w:val="00E24D75"/>
    <w:rsid w:val="00E26BD2"/>
    <w:rsid w:val="00E33C36"/>
    <w:rsid w:val="00E35B6E"/>
    <w:rsid w:val="00E43E68"/>
    <w:rsid w:val="00E6283E"/>
    <w:rsid w:val="00E64870"/>
    <w:rsid w:val="00E64E7F"/>
    <w:rsid w:val="00E66763"/>
    <w:rsid w:val="00E738A3"/>
    <w:rsid w:val="00E80D95"/>
    <w:rsid w:val="00E961D9"/>
    <w:rsid w:val="00EB3B33"/>
    <w:rsid w:val="00EB6B28"/>
    <w:rsid w:val="00EB706D"/>
    <w:rsid w:val="00EC2429"/>
    <w:rsid w:val="00EC6DE7"/>
    <w:rsid w:val="00ED55E2"/>
    <w:rsid w:val="00ED577A"/>
    <w:rsid w:val="00EE6924"/>
    <w:rsid w:val="00EE6AA5"/>
    <w:rsid w:val="00F132BC"/>
    <w:rsid w:val="00F16F3D"/>
    <w:rsid w:val="00F2575F"/>
    <w:rsid w:val="00F2779A"/>
    <w:rsid w:val="00F27EDE"/>
    <w:rsid w:val="00F35D60"/>
    <w:rsid w:val="00F447A1"/>
    <w:rsid w:val="00F46BD9"/>
    <w:rsid w:val="00F63420"/>
    <w:rsid w:val="00F63B9B"/>
    <w:rsid w:val="00F64B3F"/>
    <w:rsid w:val="00F72D50"/>
    <w:rsid w:val="00F7598F"/>
    <w:rsid w:val="00F84C85"/>
    <w:rsid w:val="00F9493A"/>
    <w:rsid w:val="00F94F54"/>
    <w:rsid w:val="00F96928"/>
    <w:rsid w:val="00FA3959"/>
    <w:rsid w:val="00FA448B"/>
    <w:rsid w:val="00FB5F10"/>
    <w:rsid w:val="00FC7AD6"/>
    <w:rsid w:val="00FE11E7"/>
    <w:rsid w:val="00FE2885"/>
    <w:rsid w:val="00FE2EC6"/>
    <w:rsid w:val="00FE3B1A"/>
    <w:rsid w:val="00FF27C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7F3F3"/>
  <w15:docId w15:val="{7F8F5FB1-A42F-49BF-A1BF-20E27D74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3D0"/>
    <w:pPr>
      <w:spacing w:after="200" w:line="276" w:lineRule="auto"/>
    </w:pPr>
    <w:rPr>
      <w:rFonts w:ascii="Calibri" w:eastAsia="MS Mincho" w:hAnsi="Calibri"/>
      <w:sz w:val="22"/>
      <w:szCs w:val="22"/>
      <w:lang w:val="en-GB"/>
    </w:rPr>
  </w:style>
  <w:style w:type="paragraph" w:styleId="Heading1">
    <w:name w:val="heading 1"/>
    <w:next w:val="Heading2"/>
    <w:link w:val="Heading1Char"/>
    <w:uiPriority w:val="9"/>
    <w:qFormat/>
    <w:rsid w:val="004C23A2"/>
    <w:pPr>
      <w:keepNext/>
      <w:suppressAutoHyphens/>
      <w:spacing w:before="240" w:line="720" w:lineRule="exact"/>
      <w:ind w:right="576"/>
      <w:outlineLvl w:val="0"/>
    </w:pPr>
    <w:rPr>
      <w:rFonts w:ascii="Arial" w:eastAsia="PMingLiU" w:hAnsi="Arial"/>
      <w:b/>
      <w:spacing w:val="-20"/>
      <w:sz w:val="56"/>
      <w:szCs w:val="60"/>
    </w:rPr>
  </w:style>
  <w:style w:type="paragraph" w:styleId="Heading2">
    <w:name w:val="heading 2"/>
    <w:basedOn w:val="Normal"/>
    <w:next w:val="Normal"/>
    <w:link w:val="Heading2Char"/>
    <w:uiPriority w:val="9"/>
    <w:unhideWhenUsed/>
    <w:qFormat/>
    <w:rsid w:val="004C23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13D0"/>
    <w:pPr>
      <w:ind w:left="720"/>
      <w:contextualSpacing/>
    </w:pPr>
    <w:rPr>
      <w:rFonts w:cs="Angsana New"/>
      <w:lang w:val="en-US"/>
    </w:rPr>
  </w:style>
  <w:style w:type="paragraph" w:styleId="Header">
    <w:name w:val="header"/>
    <w:basedOn w:val="Normal"/>
    <w:link w:val="HeaderChar"/>
    <w:uiPriority w:val="99"/>
    <w:unhideWhenUsed/>
    <w:rsid w:val="003713D0"/>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3713D0"/>
    <w:rPr>
      <w:rFonts w:ascii="Calibri" w:eastAsia="MS Mincho" w:hAnsi="Calibri"/>
      <w:lang w:val="en-GB" w:eastAsia="x-none"/>
    </w:rPr>
  </w:style>
  <w:style w:type="paragraph" w:styleId="Footer">
    <w:name w:val="footer"/>
    <w:basedOn w:val="Normal"/>
    <w:link w:val="FooterChar"/>
    <w:uiPriority w:val="99"/>
    <w:unhideWhenUsed/>
    <w:rsid w:val="003713D0"/>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3713D0"/>
    <w:rPr>
      <w:rFonts w:ascii="Calibri" w:eastAsia="MS Mincho" w:hAnsi="Calibri"/>
      <w:lang w:val="en-GB" w:eastAsia="x-none"/>
    </w:rPr>
  </w:style>
  <w:style w:type="paragraph" w:styleId="FootnoteText">
    <w:name w:val="footnote text"/>
    <w:basedOn w:val="Normal"/>
    <w:link w:val="FootnoteTextChar"/>
    <w:semiHidden/>
    <w:rsid w:val="003713D0"/>
    <w:pPr>
      <w:snapToGrid w:val="0"/>
    </w:pPr>
  </w:style>
  <w:style w:type="character" w:customStyle="1" w:styleId="FootnoteTextChar">
    <w:name w:val="Footnote Text Char"/>
    <w:basedOn w:val="DefaultParagraphFont"/>
    <w:link w:val="FootnoteText"/>
    <w:semiHidden/>
    <w:rsid w:val="003713D0"/>
    <w:rPr>
      <w:rFonts w:ascii="Calibri" w:eastAsia="MS Mincho" w:hAnsi="Calibri"/>
      <w:sz w:val="22"/>
      <w:szCs w:val="22"/>
      <w:lang w:val="en-GB"/>
    </w:rPr>
  </w:style>
  <w:style w:type="character" w:styleId="FootnoteReference">
    <w:name w:val="footnote reference"/>
    <w:semiHidden/>
    <w:rsid w:val="003713D0"/>
    <w:rPr>
      <w:vertAlign w:val="superscript"/>
    </w:rPr>
  </w:style>
  <w:style w:type="paragraph" w:customStyle="1" w:styleId="ListParagraph1">
    <w:name w:val="List Paragraph1"/>
    <w:basedOn w:val="Normal"/>
    <w:uiPriority w:val="34"/>
    <w:qFormat/>
    <w:rsid w:val="003713D0"/>
    <w:pPr>
      <w:ind w:left="720"/>
      <w:contextualSpacing/>
    </w:pPr>
    <w:rPr>
      <w:rFonts w:eastAsia="Batang"/>
    </w:rPr>
  </w:style>
  <w:style w:type="paragraph" w:styleId="BalloonText">
    <w:name w:val="Balloon Text"/>
    <w:basedOn w:val="Normal"/>
    <w:link w:val="BalloonTextChar"/>
    <w:uiPriority w:val="99"/>
    <w:semiHidden/>
    <w:unhideWhenUsed/>
    <w:rsid w:val="000A5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D75"/>
    <w:rPr>
      <w:rFonts w:ascii="Segoe UI" w:eastAsia="MS Mincho" w:hAnsi="Segoe UI" w:cs="Segoe UI"/>
      <w:sz w:val="18"/>
      <w:szCs w:val="18"/>
      <w:lang w:val="en-GB"/>
    </w:rPr>
  </w:style>
  <w:style w:type="paragraph" w:styleId="ListBullet">
    <w:name w:val="List Bullet"/>
    <w:basedOn w:val="Normal"/>
    <w:qFormat/>
    <w:rsid w:val="007B2E4D"/>
    <w:pPr>
      <w:spacing w:after="120" w:line="300" w:lineRule="atLeast"/>
    </w:pPr>
    <w:rPr>
      <w:rFonts w:ascii="Times New Roman" w:eastAsia="PMingLiU" w:hAnsi="Times New Roman"/>
      <w:u w:color="FFFFFF"/>
      <w:lang w:val="en-US"/>
    </w:rPr>
  </w:style>
  <w:style w:type="paragraph" w:styleId="ListContinue">
    <w:name w:val="List Continue"/>
    <w:basedOn w:val="Normal"/>
    <w:rsid w:val="007B2E4D"/>
    <w:pPr>
      <w:spacing w:before="120" w:after="180" w:line="300" w:lineRule="atLeast"/>
    </w:pPr>
    <w:rPr>
      <w:rFonts w:ascii="Times New Roman" w:eastAsia="PMingLiU" w:hAnsi="Times New Roman"/>
      <w:lang w:val="en-US"/>
    </w:rPr>
  </w:style>
  <w:style w:type="character" w:customStyle="1" w:styleId="Heading1Char">
    <w:name w:val="Heading 1 Char"/>
    <w:basedOn w:val="DefaultParagraphFont"/>
    <w:link w:val="Heading1"/>
    <w:uiPriority w:val="9"/>
    <w:rsid w:val="004C23A2"/>
    <w:rPr>
      <w:rFonts w:ascii="Arial" w:eastAsia="PMingLiU" w:hAnsi="Arial"/>
      <w:b/>
      <w:spacing w:val="-20"/>
      <w:sz w:val="56"/>
      <w:szCs w:val="60"/>
    </w:rPr>
  </w:style>
  <w:style w:type="character" w:customStyle="1" w:styleId="Heading2Char">
    <w:name w:val="Heading 2 Char"/>
    <w:basedOn w:val="DefaultParagraphFont"/>
    <w:link w:val="Heading2"/>
    <w:uiPriority w:val="9"/>
    <w:rsid w:val="004C23A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unhideWhenUsed/>
    <w:rsid w:val="00AE278F"/>
    <w:rPr>
      <w:color w:val="0000FF"/>
      <w:u w:val="single"/>
    </w:rPr>
  </w:style>
  <w:style w:type="character" w:styleId="CommentReference">
    <w:name w:val="annotation reference"/>
    <w:basedOn w:val="DefaultParagraphFont"/>
    <w:uiPriority w:val="99"/>
    <w:semiHidden/>
    <w:unhideWhenUsed/>
    <w:rsid w:val="00B540AC"/>
    <w:rPr>
      <w:sz w:val="16"/>
      <w:szCs w:val="16"/>
    </w:rPr>
  </w:style>
  <w:style w:type="paragraph" w:styleId="CommentText">
    <w:name w:val="annotation text"/>
    <w:basedOn w:val="Normal"/>
    <w:link w:val="CommentTextChar"/>
    <w:uiPriority w:val="99"/>
    <w:unhideWhenUsed/>
    <w:rsid w:val="000A539E"/>
    <w:pPr>
      <w:spacing w:line="240" w:lineRule="auto"/>
    </w:pPr>
    <w:rPr>
      <w:sz w:val="20"/>
      <w:szCs w:val="20"/>
    </w:rPr>
  </w:style>
  <w:style w:type="character" w:customStyle="1" w:styleId="CommentTextChar">
    <w:name w:val="Comment Text Char"/>
    <w:basedOn w:val="DefaultParagraphFont"/>
    <w:link w:val="CommentText"/>
    <w:uiPriority w:val="99"/>
    <w:rsid w:val="00B540AC"/>
    <w:rPr>
      <w:rFonts w:ascii="Calibri" w:eastAsia="MS Mincho" w:hAnsi="Calibri"/>
      <w:lang w:val="en-GB"/>
    </w:rPr>
  </w:style>
  <w:style w:type="paragraph" w:styleId="CommentSubject">
    <w:name w:val="annotation subject"/>
    <w:basedOn w:val="CommentText"/>
    <w:next w:val="CommentText"/>
    <w:link w:val="CommentSubjectChar"/>
    <w:uiPriority w:val="99"/>
    <w:semiHidden/>
    <w:unhideWhenUsed/>
    <w:rsid w:val="000A539E"/>
    <w:rPr>
      <w:b/>
      <w:bCs/>
    </w:rPr>
  </w:style>
  <w:style w:type="character" w:customStyle="1" w:styleId="CommentSubjectChar">
    <w:name w:val="Comment Subject Char"/>
    <w:basedOn w:val="CommentTextChar"/>
    <w:link w:val="CommentSubject"/>
    <w:uiPriority w:val="99"/>
    <w:semiHidden/>
    <w:rsid w:val="00B540AC"/>
    <w:rPr>
      <w:rFonts w:ascii="Calibri" w:eastAsia="MS Mincho" w:hAnsi="Calibri"/>
      <w:b/>
      <w:bCs/>
      <w:lang w:val="en-GB"/>
    </w:rPr>
  </w:style>
  <w:style w:type="paragraph" w:customStyle="1" w:styleId="Default">
    <w:name w:val="Default"/>
    <w:rsid w:val="00854D0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E6924"/>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64A3B"/>
    <w:rPr>
      <w:rFonts w:ascii="Calibri" w:eastAsia="MS Mincho" w:hAnsi="Calibri" w:cs="Angsana New"/>
      <w:sz w:val="22"/>
      <w:szCs w:val="22"/>
    </w:rPr>
  </w:style>
  <w:style w:type="paragraph" w:styleId="Revision">
    <w:name w:val="Revision"/>
    <w:hidden/>
    <w:uiPriority w:val="99"/>
    <w:semiHidden/>
    <w:rsid w:val="000A6437"/>
    <w:rPr>
      <w:rFonts w:ascii="Calibri" w:eastAsia="MS Mincho"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9191">
      <w:bodyDiv w:val="1"/>
      <w:marLeft w:val="0"/>
      <w:marRight w:val="0"/>
      <w:marTop w:val="0"/>
      <w:marBottom w:val="0"/>
      <w:divBdr>
        <w:top w:val="none" w:sz="0" w:space="0" w:color="auto"/>
        <w:left w:val="none" w:sz="0" w:space="0" w:color="auto"/>
        <w:bottom w:val="none" w:sz="0" w:space="0" w:color="auto"/>
        <w:right w:val="none" w:sz="0" w:space="0" w:color="auto"/>
      </w:divBdr>
    </w:div>
    <w:div w:id="341707196">
      <w:bodyDiv w:val="1"/>
      <w:marLeft w:val="0"/>
      <w:marRight w:val="0"/>
      <w:marTop w:val="0"/>
      <w:marBottom w:val="0"/>
      <w:divBdr>
        <w:top w:val="none" w:sz="0" w:space="0" w:color="auto"/>
        <w:left w:val="none" w:sz="0" w:space="0" w:color="auto"/>
        <w:bottom w:val="none" w:sz="0" w:space="0" w:color="auto"/>
        <w:right w:val="none" w:sz="0" w:space="0" w:color="auto"/>
      </w:divBdr>
    </w:div>
    <w:div w:id="652683759">
      <w:bodyDiv w:val="1"/>
      <w:marLeft w:val="0"/>
      <w:marRight w:val="0"/>
      <w:marTop w:val="0"/>
      <w:marBottom w:val="0"/>
      <w:divBdr>
        <w:top w:val="none" w:sz="0" w:space="0" w:color="auto"/>
        <w:left w:val="none" w:sz="0" w:space="0" w:color="auto"/>
        <w:bottom w:val="none" w:sz="0" w:space="0" w:color="auto"/>
        <w:right w:val="none" w:sz="0" w:space="0" w:color="auto"/>
      </w:divBdr>
    </w:div>
    <w:div w:id="1437291740">
      <w:bodyDiv w:val="1"/>
      <w:marLeft w:val="0"/>
      <w:marRight w:val="0"/>
      <w:marTop w:val="0"/>
      <w:marBottom w:val="0"/>
      <w:divBdr>
        <w:top w:val="none" w:sz="0" w:space="0" w:color="auto"/>
        <w:left w:val="none" w:sz="0" w:space="0" w:color="auto"/>
        <w:bottom w:val="none" w:sz="0" w:space="0" w:color="auto"/>
        <w:right w:val="none" w:sz="0" w:space="0" w:color="auto"/>
      </w:divBdr>
    </w:div>
    <w:div w:id="16265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ean.org/storage/2012/05/Handbook-on-Proposal-Development-for-ASEAN-Cooperation-Projects-1st-Reprint-NEW.pdf"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asean.org/wp-content/uploads/images/2013/resources/ASEAN%20project%20template/Annex%201%20project%20proposal%20-%20Budget%20format%20or%20template.xls"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8E08B-6821-4728-A076-4ED636D3EAD1}" type="doc">
      <dgm:prSet loTypeId="urn:microsoft.com/office/officeart/2005/8/layout/process2" loCatId="process" qsTypeId="urn:microsoft.com/office/officeart/2005/8/quickstyle/simple1" qsCatId="simple" csTypeId="urn:microsoft.com/office/officeart/2005/8/colors/accent1_2" csCatId="accent1" phldr="1"/>
      <dgm:spPr/>
    </dgm:pt>
    <dgm:pt modelId="{7D577445-07D3-426F-9EA2-233FB8791769}">
      <dgm:prSet phldrT="[Text]" custT="1"/>
      <dgm:spPr>
        <a:solidFill>
          <a:srgbClr val="7030A0"/>
        </a:solidFill>
      </dgm:spPr>
      <dgm:t>
        <a:bodyPr/>
        <a:lstStyle/>
        <a:p>
          <a:r>
            <a:rPr lang="en-US" sz="1000" dirty="0"/>
            <a:t>Submission of Project Proposal</a:t>
          </a:r>
        </a:p>
      </dgm:t>
    </dgm:pt>
    <dgm:pt modelId="{81709E99-F13B-442E-899A-0BF86C2271CB}" type="parTrans" cxnId="{6B07BD17-DA2F-4149-858C-C924D58EE276}">
      <dgm:prSet/>
      <dgm:spPr/>
      <dgm:t>
        <a:bodyPr/>
        <a:lstStyle/>
        <a:p>
          <a:endParaRPr lang="en-US" sz="2000"/>
        </a:p>
      </dgm:t>
    </dgm:pt>
    <dgm:pt modelId="{CF0F7627-3729-4F9B-B1AA-5FDD28E6D991}" type="sibTrans" cxnId="{6B07BD17-DA2F-4149-858C-C924D58EE276}">
      <dgm:prSet custT="1"/>
      <dgm:spPr/>
      <dgm:t>
        <a:bodyPr/>
        <a:lstStyle/>
        <a:p>
          <a:r>
            <a:rPr lang="en-US" sz="800" dirty="0"/>
            <a:t>Yes</a:t>
          </a:r>
        </a:p>
      </dgm:t>
    </dgm:pt>
    <dgm:pt modelId="{29DE84F3-F3BE-45EE-A0E6-0C12A7447DF7}">
      <dgm:prSet phldrT="[Text]" custT="1"/>
      <dgm:spPr>
        <a:solidFill>
          <a:srgbClr val="7030A0"/>
        </a:solidFill>
      </dgm:spPr>
      <dgm:t>
        <a:bodyPr/>
        <a:lstStyle/>
        <a:p>
          <a:r>
            <a:rPr lang="en-US" sz="1000" dirty="0"/>
            <a:t>ASEC pre-screening</a:t>
          </a:r>
        </a:p>
        <a:p>
          <a:r>
            <a:rPr lang="en-US" sz="1000" dirty="0"/>
            <a:t>(15 calendar days)  </a:t>
          </a:r>
        </a:p>
      </dgm:t>
    </dgm:pt>
    <dgm:pt modelId="{41CC5DF4-1838-4CDB-85D0-B06AD3CD392C}" type="parTrans" cxnId="{1F13A940-83AD-4F83-BB54-D3C2A255C79A}">
      <dgm:prSet/>
      <dgm:spPr/>
      <dgm:t>
        <a:bodyPr/>
        <a:lstStyle/>
        <a:p>
          <a:endParaRPr lang="en-US" sz="2000"/>
        </a:p>
      </dgm:t>
    </dgm:pt>
    <dgm:pt modelId="{C6809BE7-5C51-45D3-8030-78D7FBA6CDFD}" type="sibTrans" cxnId="{1F13A940-83AD-4F83-BB54-D3C2A255C79A}">
      <dgm:prSet custT="1"/>
      <dgm:spPr/>
      <dgm:t>
        <a:bodyPr/>
        <a:lstStyle/>
        <a:p>
          <a:r>
            <a:rPr lang="en-US" sz="800" dirty="0"/>
            <a:t>Yes</a:t>
          </a:r>
        </a:p>
      </dgm:t>
    </dgm:pt>
    <dgm:pt modelId="{0285E40C-83A0-4112-B95B-1032EA5E4DED}">
      <dgm:prSet phldrT="[Text]" custT="1"/>
      <dgm:spPr>
        <a:solidFill>
          <a:srgbClr val="7030A0"/>
        </a:solidFill>
      </dgm:spPr>
      <dgm:t>
        <a:bodyPr/>
        <a:lstStyle/>
        <a:p>
          <a:r>
            <a:rPr lang="en-US" sz="1000" dirty="0"/>
            <a:t>AKFTA-WGEC consideration and approval</a:t>
          </a:r>
        </a:p>
        <a:p>
          <a:r>
            <a:rPr lang="en-US" sz="1000" dirty="0"/>
            <a:t>(15 calendar days)  </a:t>
          </a:r>
        </a:p>
      </dgm:t>
    </dgm:pt>
    <dgm:pt modelId="{8D6BC1A6-D1E0-4F74-B452-C6573EC1EB0A}" type="parTrans" cxnId="{437C0144-2F93-46D5-AB79-1915AB623A35}">
      <dgm:prSet/>
      <dgm:spPr/>
      <dgm:t>
        <a:bodyPr/>
        <a:lstStyle/>
        <a:p>
          <a:endParaRPr lang="en-US" sz="2000"/>
        </a:p>
      </dgm:t>
    </dgm:pt>
    <dgm:pt modelId="{C47A7D61-9926-4C19-8EBE-6A91C1CEDD75}" type="sibTrans" cxnId="{437C0144-2F93-46D5-AB79-1915AB623A35}">
      <dgm:prSet custT="1"/>
      <dgm:spPr/>
      <dgm:t>
        <a:bodyPr/>
        <a:lstStyle/>
        <a:p>
          <a:r>
            <a:rPr lang="en-US" sz="800" dirty="0"/>
            <a:t>Yes</a:t>
          </a:r>
        </a:p>
      </dgm:t>
    </dgm:pt>
    <dgm:pt modelId="{A6B5ED61-057A-45DA-A5DA-F316503BA4BB}">
      <dgm:prSet custT="1"/>
      <dgm:spPr>
        <a:solidFill>
          <a:srgbClr val="7030A0"/>
        </a:solidFill>
      </dgm:spPr>
      <dgm:t>
        <a:bodyPr/>
        <a:lstStyle/>
        <a:p>
          <a:r>
            <a:rPr lang="en-US" sz="1000" dirty="0"/>
            <a:t>AKFTA-IC consideration and approval</a:t>
          </a:r>
        </a:p>
        <a:p>
          <a:r>
            <a:rPr lang="en-US" sz="1000" dirty="0"/>
            <a:t>(15 calendar days)  </a:t>
          </a:r>
        </a:p>
      </dgm:t>
    </dgm:pt>
    <dgm:pt modelId="{FEBE676D-2E7E-4AAB-866D-CAE9582CE355}" type="parTrans" cxnId="{FE22CBE3-523C-4290-A445-EB59F58FABE1}">
      <dgm:prSet/>
      <dgm:spPr/>
      <dgm:t>
        <a:bodyPr/>
        <a:lstStyle/>
        <a:p>
          <a:endParaRPr lang="en-US" sz="2000"/>
        </a:p>
      </dgm:t>
    </dgm:pt>
    <dgm:pt modelId="{37C941CA-3162-4C69-9A0C-7A453AF1678C}" type="sibTrans" cxnId="{FE22CBE3-523C-4290-A445-EB59F58FABE1}">
      <dgm:prSet custT="1"/>
      <dgm:spPr/>
      <dgm:t>
        <a:bodyPr/>
        <a:lstStyle/>
        <a:p>
          <a:r>
            <a:rPr lang="en-US" sz="800" dirty="0"/>
            <a:t>Yes</a:t>
          </a:r>
        </a:p>
      </dgm:t>
    </dgm:pt>
    <dgm:pt modelId="{61763579-BECB-4BCA-A680-7EDF3ADB4360}">
      <dgm:prSet custT="1"/>
      <dgm:spPr>
        <a:solidFill>
          <a:srgbClr val="7030A0"/>
        </a:solidFill>
      </dgm:spPr>
      <dgm:t>
        <a:bodyPr/>
        <a:lstStyle/>
        <a:p>
          <a:r>
            <a:rPr lang="en-US" sz="1000" dirty="0"/>
            <a:t>Completion and Financial Report</a:t>
          </a:r>
        </a:p>
      </dgm:t>
    </dgm:pt>
    <dgm:pt modelId="{823131D4-965A-4EF4-A917-4B089D17442C}" type="parTrans" cxnId="{FB54BF18-1D2E-4DFA-ADEF-68DF49C7EF58}">
      <dgm:prSet/>
      <dgm:spPr/>
      <dgm:t>
        <a:bodyPr/>
        <a:lstStyle/>
        <a:p>
          <a:endParaRPr lang="en-US" sz="2000"/>
        </a:p>
      </dgm:t>
    </dgm:pt>
    <dgm:pt modelId="{9FDA0AA4-C519-4EA2-BBA2-C6628EFD8E5B}" type="sibTrans" cxnId="{FB54BF18-1D2E-4DFA-ADEF-68DF49C7EF58}">
      <dgm:prSet/>
      <dgm:spPr/>
      <dgm:t>
        <a:bodyPr/>
        <a:lstStyle/>
        <a:p>
          <a:endParaRPr lang="en-US" sz="2000"/>
        </a:p>
      </dgm:t>
    </dgm:pt>
    <dgm:pt modelId="{9E9DF7D2-8371-4A58-AA10-94CAF616FD39}">
      <dgm:prSet custT="1"/>
      <dgm:spPr>
        <a:solidFill>
          <a:srgbClr val="7030A0"/>
        </a:solidFill>
      </dgm:spPr>
      <dgm:t>
        <a:bodyPr/>
        <a:lstStyle/>
        <a:p>
          <a:r>
            <a:rPr lang="en-US" sz="1000" dirty="0"/>
            <a:t>Project Implementation </a:t>
          </a:r>
        </a:p>
      </dgm:t>
    </dgm:pt>
    <dgm:pt modelId="{247E5880-A5F2-489D-9366-03E77D1D4976}" type="sibTrans" cxnId="{B053C260-3504-46D4-9C91-87072A84B9ED}">
      <dgm:prSet custT="1"/>
      <dgm:spPr/>
      <dgm:t>
        <a:bodyPr/>
        <a:lstStyle/>
        <a:p>
          <a:r>
            <a:rPr lang="en-US" sz="800" dirty="0"/>
            <a:t>Yes</a:t>
          </a:r>
        </a:p>
      </dgm:t>
    </dgm:pt>
    <dgm:pt modelId="{D448E61D-7685-48EF-B15E-0F71272EAA07}" type="parTrans" cxnId="{B053C260-3504-46D4-9C91-87072A84B9ED}">
      <dgm:prSet/>
      <dgm:spPr/>
      <dgm:t>
        <a:bodyPr/>
        <a:lstStyle/>
        <a:p>
          <a:endParaRPr lang="en-US" sz="2000"/>
        </a:p>
      </dgm:t>
    </dgm:pt>
    <dgm:pt modelId="{733174EF-05C2-4765-84AB-0067E122E829}" type="pres">
      <dgm:prSet presAssocID="{A378E08B-6821-4728-A076-4ED636D3EAD1}" presName="linearFlow" presStyleCnt="0">
        <dgm:presLayoutVars>
          <dgm:resizeHandles val="exact"/>
        </dgm:presLayoutVars>
      </dgm:prSet>
      <dgm:spPr/>
    </dgm:pt>
    <dgm:pt modelId="{67B6C80B-6AF0-445C-9C3C-E1CBE206CA4A}" type="pres">
      <dgm:prSet presAssocID="{7D577445-07D3-426F-9EA2-233FB8791769}" presName="node" presStyleLbl="node1" presStyleIdx="0" presStyleCnt="6" custScaleX="188731">
        <dgm:presLayoutVars>
          <dgm:bulletEnabled val="1"/>
        </dgm:presLayoutVars>
      </dgm:prSet>
      <dgm:spPr/>
    </dgm:pt>
    <dgm:pt modelId="{26D615CD-95AA-431E-B7BE-DC2EAD838FCF}" type="pres">
      <dgm:prSet presAssocID="{CF0F7627-3729-4F9B-B1AA-5FDD28E6D991}" presName="sibTrans" presStyleLbl="sibTrans2D1" presStyleIdx="0" presStyleCnt="5"/>
      <dgm:spPr/>
    </dgm:pt>
    <dgm:pt modelId="{A76CB525-C7FF-4108-84C8-53B73D83D0F4}" type="pres">
      <dgm:prSet presAssocID="{CF0F7627-3729-4F9B-B1AA-5FDD28E6D991}" presName="connectorText" presStyleLbl="sibTrans2D1" presStyleIdx="0" presStyleCnt="5"/>
      <dgm:spPr/>
    </dgm:pt>
    <dgm:pt modelId="{131F868A-6318-47F4-A278-50AB24141D21}" type="pres">
      <dgm:prSet presAssocID="{29DE84F3-F3BE-45EE-A0E6-0C12A7447DF7}" presName="node" presStyleLbl="node1" presStyleIdx="1" presStyleCnt="6" custScaleX="190514">
        <dgm:presLayoutVars>
          <dgm:bulletEnabled val="1"/>
        </dgm:presLayoutVars>
      </dgm:prSet>
      <dgm:spPr/>
    </dgm:pt>
    <dgm:pt modelId="{B1240FE8-6448-4D4F-BFCE-DDFAD48FD9E2}" type="pres">
      <dgm:prSet presAssocID="{C6809BE7-5C51-45D3-8030-78D7FBA6CDFD}" presName="sibTrans" presStyleLbl="sibTrans2D1" presStyleIdx="1" presStyleCnt="5"/>
      <dgm:spPr/>
    </dgm:pt>
    <dgm:pt modelId="{21A505BA-80A8-4550-AF09-1B43292A1E59}" type="pres">
      <dgm:prSet presAssocID="{C6809BE7-5C51-45D3-8030-78D7FBA6CDFD}" presName="connectorText" presStyleLbl="sibTrans2D1" presStyleIdx="1" presStyleCnt="5"/>
      <dgm:spPr/>
    </dgm:pt>
    <dgm:pt modelId="{A8048CE2-4FDF-4652-9A71-DDD538E02C8F}" type="pres">
      <dgm:prSet presAssocID="{0285E40C-83A0-4112-B95B-1032EA5E4DED}" presName="node" presStyleLbl="node1" presStyleIdx="2" presStyleCnt="6" custScaleX="195865" custScaleY="177594">
        <dgm:presLayoutVars>
          <dgm:bulletEnabled val="1"/>
        </dgm:presLayoutVars>
      </dgm:prSet>
      <dgm:spPr/>
    </dgm:pt>
    <dgm:pt modelId="{95FF5749-5A60-49AE-87A7-16FEA2E9054D}" type="pres">
      <dgm:prSet presAssocID="{C47A7D61-9926-4C19-8EBE-6A91C1CEDD75}" presName="sibTrans" presStyleLbl="sibTrans2D1" presStyleIdx="2" presStyleCnt="5"/>
      <dgm:spPr/>
    </dgm:pt>
    <dgm:pt modelId="{AC5ACC33-098C-4664-BA07-E2A028235D24}" type="pres">
      <dgm:prSet presAssocID="{C47A7D61-9926-4C19-8EBE-6A91C1CEDD75}" presName="connectorText" presStyleLbl="sibTrans2D1" presStyleIdx="2" presStyleCnt="5"/>
      <dgm:spPr/>
    </dgm:pt>
    <dgm:pt modelId="{CCF2A17F-7E8E-4A07-83FC-C1D56DEBE764}" type="pres">
      <dgm:prSet presAssocID="{A6B5ED61-057A-45DA-A5DA-F316503BA4BB}" presName="node" presStyleLbl="node1" presStyleIdx="3" presStyleCnt="6" custScaleX="186948" custScaleY="178625">
        <dgm:presLayoutVars>
          <dgm:bulletEnabled val="1"/>
        </dgm:presLayoutVars>
      </dgm:prSet>
      <dgm:spPr/>
    </dgm:pt>
    <dgm:pt modelId="{4A5E6BED-CBBE-4D7B-B31B-C6C1BD8413CE}" type="pres">
      <dgm:prSet presAssocID="{37C941CA-3162-4C69-9A0C-7A453AF1678C}" presName="sibTrans" presStyleLbl="sibTrans2D1" presStyleIdx="3" presStyleCnt="5"/>
      <dgm:spPr/>
    </dgm:pt>
    <dgm:pt modelId="{DA8888F4-83C6-4141-8F68-3B5749103B20}" type="pres">
      <dgm:prSet presAssocID="{37C941CA-3162-4C69-9A0C-7A453AF1678C}" presName="connectorText" presStyleLbl="sibTrans2D1" presStyleIdx="3" presStyleCnt="5"/>
      <dgm:spPr/>
    </dgm:pt>
    <dgm:pt modelId="{C01DAE4B-33A8-4E51-A74C-17936724F8B3}" type="pres">
      <dgm:prSet presAssocID="{9E9DF7D2-8371-4A58-AA10-94CAF616FD39}" presName="node" presStyleLbl="node1" presStyleIdx="4" presStyleCnt="6" custScaleX="181598">
        <dgm:presLayoutVars>
          <dgm:bulletEnabled val="1"/>
        </dgm:presLayoutVars>
      </dgm:prSet>
      <dgm:spPr/>
    </dgm:pt>
    <dgm:pt modelId="{934A464D-E5F1-4A76-B40C-311FD526AE51}" type="pres">
      <dgm:prSet presAssocID="{247E5880-A5F2-489D-9366-03E77D1D4976}" presName="sibTrans" presStyleLbl="sibTrans2D1" presStyleIdx="4" presStyleCnt="5"/>
      <dgm:spPr/>
    </dgm:pt>
    <dgm:pt modelId="{239CA1A9-DC3C-4C25-B958-E027EEF8DA65}" type="pres">
      <dgm:prSet presAssocID="{247E5880-A5F2-489D-9366-03E77D1D4976}" presName="connectorText" presStyleLbl="sibTrans2D1" presStyleIdx="4" presStyleCnt="5"/>
      <dgm:spPr/>
    </dgm:pt>
    <dgm:pt modelId="{3C3E0983-218D-4EF4-AACA-F15D56A1EDE3}" type="pres">
      <dgm:prSet presAssocID="{61763579-BECB-4BCA-A680-7EDF3ADB4360}" presName="node" presStyleLbl="node1" presStyleIdx="5" presStyleCnt="6" custScaleX="182213">
        <dgm:presLayoutVars>
          <dgm:bulletEnabled val="1"/>
        </dgm:presLayoutVars>
      </dgm:prSet>
      <dgm:spPr/>
    </dgm:pt>
  </dgm:ptLst>
  <dgm:cxnLst>
    <dgm:cxn modelId="{6B07BD17-DA2F-4149-858C-C924D58EE276}" srcId="{A378E08B-6821-4728-A076-4ED636D3EAD1}" destId="{7D577445-07D3-426F-9EA2-233FB8791769}" srcOrd="0" destOrd="0" parTransId="{81709E99-F13B-442E-899A-0BF86C2271CB}" sibTransId="{CF0F7627-3729-4F9B-B1AA-5FDD28E6D991}"/>
    <dgm:cxn modelId="{FB54BF18-1D2E-4DFA-ADEF-68DF49C7EF58}" srcId="{A378E08B-6821-4728-A076-4ED636D3EAD1}" destId="{61763579-BECB-4BCA-A680-7EDF3ADB4360}" srcOrd="5" destOrd="0" parTransId="{823131D4-965A-4EF4-A917-4B089D17442C}" sibTransId="{9FDA0AA4-C519-4EA2-BBA2-C6628EFD8E5B}"/>
    <dgm:cxn modelId="{EE8F6D1B-17CF-4799-A340-5137A61C0415}" type="presOf" srcId="{29DE84F3-F3BE-45EE-A0E6-0C12A7447DF7}" destId="{131F868A-6318-47F4-A278-50AB24141D21}" srcOrd="0" destOrd="0" presId="urn:microsoft.com/office/officeart/2005/8/layout/process2"/>
    <dgm:cxn modelId="{F73E2222-E5E7-4EC8-B8D6-1B5ECB57EADE}" type="presOf" srcId="{C6809BE7-5C51-45D3-8030-78D7FBA6CDFD}" destId="{B1240FE8-6448-4D4F-BFCE-DDFAD48FD9E2}" srcOrd="0" destOrd="0" presId="urn:microsoft.com/office/officeart/2005/8/layout/process2"/>
    <dgm:cxn modelId="{D2CE9625-A239-4850-B519-DD03DFE72520}" type="presOf" srcId="{7D577445-07D3-426F-9EA2-233FB8791769}" destId="{67B6C80B-6AF0-445C-9C3C-E1CBE206CA4A}" srcOrd="0" destOrd="0" presId="urn:microsoft.com/office/officeart/2005/8/layout/process2"/>
    <dgm:cxn modelId="{86252A31-0B97-41DA-A0B1-888B2F072823}" type="presOf" srcId="{247E5880-A5F2-489D-9366-03E77D1D4976}" destId="{239CA1A9-DC3C-4C25-B958-E027EEF8DA65}" srcOrd="1" destOrd="0" presId="urn:microsoft.com/office/officeart/2005/8/layout/process2"/>
    <dgm:cxn modelId="{F86DAE32-3029-428B-98CC-32693BEC8BA6}" type="presOf" srcId="{37C941CA-3162-4C69-9A0C-7A453AF1678C}" destId="{DA8888F4-83C6-4141-8F68-3B5749103B20}" srcOrd="1" destOrd="0" presId="urn:microsoft.com/office/officeart/2005/8/layout/process2"/>
    <dgm:cxn modelId="{17043E33-CC47-474B-B0D4-4A1A82BC6189}" type="presOf" srcId="{37C941CA-3162-4C69-9A0C-7A453AF1678C}" destId="{4A5E6BED-CBBE-4D7B-B31B-C6C1BD8413CE}" srcOrd="0" destOrd="0" presId="urn:microsoft.com/office/officeart/2005/8/layout/process2"/>
    <dgm:cxn modelId="{C956C735-459E-4CCF-9D75-3A1074BD34E8}" type="presOf" srcId="{CF0F7627-3729-4F9B-B1AA-5FDD28E6D991}" destId="{A76CB525-C7FF-4108-84C8-53B73D83D0F4}" srcOrd="1" destOrd="0" presId="urn:microsoft.com/office/officeart/2005/8/layout/process2"/>
    <dgm:cxn modelId="{ACE1C53D-08B5-4CD8-986B-C0C6BC5EE7D5}" type="presOf" srcId="{C47A7D61-9926-4C19-8EBE-6A91C1CEDD75}" destId="{95FF5749-5A60-49AE-87A7-16FEA2E9054D}" srcOrd="0" destOrd="0" presId="urn:microsoft.com/office/officeart/2005/8/layout/process2"/>
    <dgm:cxn modelId="{1F13A940-83AD-4F83-BB54-D3C2A255C79A}" srcId="{A378E08B-6821-4728-A076-4ED636D3EAD1}" destId="{29DE84F3-F3BE-45EE-A0E6-0C12A7447DF7}" srcOrd="1" destOrd="0" parTransId="{41CC5DF4-1838-4CDB-85D0-B06AD3CD392C}" sibTransId="{C6809BE7-5C51-45D3-8030-78D7FBA6CDFD}"/>
    <dgm:cxn modelId="{B053C260-3504-46D4-9C91-87072A84B9ED}" srcId="{A378E08B-6821-4728-A076-4ED636D3EAD1}" destId="{9E9DF7D2-8371-4A58-AA10-94CAF616FD39}" srcOrd="4" destOrd="0" parTransId="{D448E61D-7685-48EF-B15E-0F71272EAA07}" sibTransId="{247E5880-A5F2-489D-9366-03E77D1D4976}"/>
    <dgm:cxn modelId="{F6BE7741-EECE-41F4-B97A-B1CE24AFD53A}" type="presOf" srcId="{9E9DF7D2-8371-4A58-AA10-94CAF616FD39}" destId="{C01DAE4B-33A8-4E51-A74C-17936724F8B3}" srcOrd="0" destOrd="0" presId="urn:microsoft.com/office/officeart/2005/8/layout/process2"/>
    <dgm:cxn modelId="{AE9FA141-1FEC-4B30-BE09-8DFE7C48D1D1}" type="presOf" srcId="{61763579-BECB-4BCA-A680-7EDF3ADB4360}" destId="{3C3E0983-218D-4EF4-AACA-F15D56A1EDE3}" srcOrd="0" destOrd="0" presId="urn:microsoft.com/office/officeart/2005/8/layout/process2"/>
    <dgm:cxn modelId="{437C0144-2F93-46D5-AB79-1915AB623A35}" srcId="{A378E08B-6821-4728-A076-4ED636D3EAD1}" destId="{0285E40C-83A0-4112-B95B-1032EA5E4DED}" srcOrd="2" destOrd="0" parTransId="{8D6BC1A6-D1E0-4F74-B452-C6573EC1EB0A}" sibTransId="{C47A7D61-9926-4C19-8EBE-6A91C1CEDD75}"/>
    <dgm:cxn modelId="{BCFD4C4F-CC15-4DDA-9056-00BB250F3A0B}" type="presOf" srcId="{247E5880-A5F2-489D-9366-03E77D1D4976}" destId="{934A464D-E5F1-4A76-B40C-311FD526AE51}" srcOrd="0" destOrd="0" presId="urn:microsoft.com/office/officeart/2005/8/layout/process2"/>
    <dgm:cxn modelId="{7B39E575-C564-47DA-AFAA-5750457A098B}" type="presOf" srcId="{CF0F7627-3729-4F9B-B1AA-5FDD28E6D991}" destId="{26D615CD-95AA-431E-B7BE-DC2EAD838FCF}" srcOrd="0" destOrd="0" presId="urn:microsoft.com/office/officeart/2005/8/layout/process2"/>
    <dgm:cxn modelId="{FF97FA8A-42F6-4A87-8A77-7D98F57FFE7B}" type="presOf" srcId="{A6B5ED61-057A-45DA-A5DA-F316503BA4BB}" destId="{CCF2A17F-7E8E-4A07-83FC-C1D56DEBE764}" srcOrd="0" destOrd="0" presId="urn:microsoft.com/office/officeart/2005/8/layout/process2"/>
    <dgm:cxn modelId="{6109CEC7-9497-44F4-8F81-0B6C8DC8486F}" type="presOf" srcId="{A378E08B-6821-4728-A076-4ED636D3EAD1}" destId="{733174EF-05C2-4765-84AB-0067E122E829}" srcOrd="0" destOrd="0" presId="urn:microsoft.com/office/officeart/2005/8/layout/process2"/>
    <dgm:cxn modelId="{C2458BE0-34C2-478A-A5E9-9003EC9E192D}" type="presOf" srcId="{C6809BE7-5C51-45D3-8030-78D7FBA6CDFD}" destId="{21A505BA-80A8-4550-AF09-1B43292A1E59}" srcOrd="1" destOrd="0" presId="urn:microsoft.com/office/officeart/2005/8/layout/process2"/>
    <dgm:cxn modelId="{FE22CBE3-523C-4290-A445-EB59F58FABE1}" srcId="{A378E08B-6821-4728-A076-4ED636D3EAD1}" destId="{A6B5ED61-057A-45DA-A5DA-F316503BA4BB}" srcOrd="3" destOrd="0" parTransId="{FEBE676D-2E7E-4AAB-866D-CAE9582CE355}" sibTransId="{37C941CA-3162-4C69-9A0C-7A453AF1678C}"/>
    <dgm:cxn modelId="{B330BEE4-F661-43C4-9230-BB7CE4C6C56C}" type="presOf" srcId="{0285E40C-83A0-4112-B95B-1032EA5E4DED}" destId="{A8048CE2-4FDF-4652-9A71-DDD538E02C8F}" srcOrd="0" destOrd="0" presId="urn:microsoft.com/office/officeart/2005/8/layout/process2"/>
    <dgm:cxn modelId="{A1F270F4-A2AE-4FEC-BBCF-D86E4AEA325F}" type="presOf" srcId="{C47A7D61-9926-4C19-8EBE-6A91C1CEDD75}" destId="{AC5ACC33-098C-4664-BA07-E2A028235D24}" srcOrd="1" destOrd="0" presId="urn:microsoft.com/office/officeart/2005/8/layout/process2"/>
    <dgm:cxn modelId="{8D8EDA25-5D3A-486D-8C97-E1AE875E098C}" type="presParOf" srcId="{733174EF-05C2-4765-84AB-0067E122E829}" destId="{67B6C80B-6AF0-445C-9C3C-E1CBE206CA4A}" srcOrd="0" destOrd="0" presId="urn:microsoft.com/office/officeart/2005/8/layout/process2"/>
    <dgm:cxn modelId="{D55BC906-B3D9-45DF-B4EA-50461B1C56AE}" type="presParOf" srcId="{733174EF-05C2-4765-84AB-0067E122E829}" destId="{26D615CD-95AA-431E-B7BE-DC2EAD838FCF}" srcOrd="1" destOrd="0" presId="urn:microsoft.com/office/officeart/2005/8/layout/process2"/>
    <dgm:cxn modelId="{CE72D4E6-F757-4AA1-9175-9CB7184E2D5B}" type="presParOf" srcId="{26D615CD-95AA-431E-B7BE-DC2EAD838FCF}" destId="{A76CB525-C7FF-4108-84C8-53B73D83D0F4}" srcOrd="0" destOrd="0" presId="urn:microsoft.com/office/officeart/2005/8/layout/process2"/>
    <dgm:cxn modelId="{20007FE4-6CAD-4E3B-B198-A94DF115EDB0}" type="presParOf" srcId="{733174EF-05C2-4765-84AB-0067E122E829}" destId="{131F868A-6318-47F4-A278-50AB24141D21}" srcOrd="2" destOrd="0" presId="urn:microsoft.com/office/officeart/2005/8/layout/process2"/>
    <dgm:cxn modelId="{B58DA950-B89F-468A-B449-EDCECC7A18CC}" type="presParOf" srcId="{733174EF-05C2-4765-84AB-0067E122E829}" destId="{B1240FE8-6448-4D4F-BFCE-DDFAD48FD9E2}" srcOrd="3" destOrd="0" presId="urn:microsoft.com/office/officeart/2005/8/layout/process2"/>
    <dgm:cxn modelId="{79A180B0-7C56-4F71-9F79-A06FF290955D}" type="presParOf" srcId="{B1240FE8-6448-4D4F-BFCE-DDFAD48FD9E2}" destId="{21A505BA-80A8-4550-AF09-1B43292A1E59}" srcOrd="0" destOrd="0" presId="urn:microsoft.com/office/officeart/2005/8/layout/process2"/>
    <dgm:cxn modelId="{F9142EC1-325E-499D-94D8-ECF371582626}" type="presParOf" srcId="{733174EF-05C2-4765-84AB-0067E122E829}" destId="{A8048CE2-4FDF-4652-9A71-DDD538E02C8F}" srcOrd="4" destOrd="0" presId="urn:microsoft.com/office/officeart/2005/8/layout/process2"/>
    <dgm:cxn modelId="{A48F1767-3528-4918-8F90-A60B83581A7B}" type="presParOf" srcId="{733174EF-05C2-4765-84AB-0067E122E829}" destId="{95FF5749-5A60-49AE-87A7-16FEA2E9054D}" srcOrd="5" destOrd="0" presId="urn:microsoft.com/office/officeart/2005/8/layout/process2"/>
    <dgm:cxn modelId="{1B03047F-5430-43D6-B58E-E09A349BC97C}" type="presParOf" srcId="{95FF5749-5A60-49AE-87A7-16FEA2E9054D}" destId="{AC5ACC33-098C-4664-BA07-E2A028235D24}" srcOrd="0" destOrd="0" presId="urn:microsoft.com/office/officeart/2005/8/layout/process2"/>
    <dgm:cxn modelId="{0815E68A-F202-4AE8-8823-C5EBB3380094}" type="presParOf" srcId="{733174EF-05C2-4765-84AB-0067E122E829}" destId="{CCF2A17F-7E8E-4A07-83FC-C1D56DEBE764}" srcOrd="6" destOrd="0" presId="urn:microsoft.com/office/officeart/2005/8/layout/process2"/>
    <dgm:cxn modelId="{6B1701FA-E2FD-4D34-9A3D-8001A7F5111A}" type="presParOf" srcId="{733174EF-05C2-4765-84AB-0067E122E829}" destId="{4A5E6BED-CBBE-4D7B-B31B-C6C1BD8413CE}" srcOrd="7" destOrd="0" presId="urn:microsoft.com/office/officeart/2005/8/layout/process2"/>
    <dgm:cxn modelId="{8BDA08B8-DF01-4EDD-AB7A-51EBFBA0E14A}" type="presParOf" srcId="{4A5E6BED-CBBE-4D7B-B31B-C6C1BD8413CE}" destId="{DA8888F4-83C6-4141-8F68-3B5749103B20}" srcOrd="0" destOrd="0" presId="urn:microsoft.com/office/officeart/2005/8/layout/process2"/>
    <dgm:cxn modelId="{D153DBE6-B0C1-4EF8-8CEF-E50E2782A07A}" type="presParOf" srcId="{733174EF-05C2-4765-84AB-0067E122E829}" destId="{C01DAE4B-33A8-4E51-A74C-17936724F8B3}" srcOrd="8" destOrd="0" presId="urn:microsoft.com/office/officeart/2005/8/layout/process2"/>
    <dgm:cxn modelId="{604DBBAB-110D-4665-A8A2-5112B57034A1}" type="presParOf" srcId="{733174EF-05C2-4765-84AB-0067E122E829}" destId="{934A464D-E5F1-4A76-B40C-311FD526AE51}" srcOrd="9" destOrd="0" presId="urn:microsoft.com/office/officeart/2005/8/layout/process2"/>
    <dgm:cxn modelId="{C901A324-32BC-4062-A456-401D1D7F4F60}" type="presParOf" srcId="{934A464D-E5F1-4A76-B40C-311FD526AE51}" destId="{239CA1A9-DC3C-4C25-B958-E027EEF8DA65}" srcOrd="0" destOrd="0" presId="urn:microsoft.com/office/officeart/2005/8/layout/process2"/>
    <dgm:cxn modelId="{30511CB2-35F7-4367-923F-3BA01E23F868}" type="presParOf" srcId="{733174EF-05C2-4765-84AB-0067E122E829}" destId="{3C3E0983-218D-4EF4-AACA-F15D56A1EDE3}" srcOrd="10" destOrd="0" presId="urn:microsoft.com/office/officeart/2005/8/layout/process2"/>
  </dgm:cxnLst>
  <dgm:bg/>
  <dgm:whole>
    <a:ln>
      <a:solidFill>
        <a:schemeClr val="accent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B6C80B-6AF0-445C-9C3C-E1CBE206CA4A}">
      <dsp:nvSpPr>
        <dsp:cNvPr id="0" name=""/>
        <dsp:cNvSpPr/>
      </dsp:nvSpPr>
      <dsp:spPr>
        <a:xfrm>
          <a:off x="1039681" y="2776"/>
          <a:ext cx="3635636" cy="481589"/>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Submission of Project Proposal</a:t>
          </a:r>
        </a:p>
      </dsp:txBody>
      <dsp:txXfrm>
        <a:off x="1053786" y="16881"/>
        <a:ext cx="3607426" cy="453379"/>
      </dsp:txXfrm>
    </dsp:sp>
    <dsp:sp modelId="{26D615CD-95AA-431E-B7BE-DC2EAD838FCF}">
      <dsp:nvSpPr>
        <dsp:cNvPr id="0" name=""/>
        <dsp:cNvSpPr/>
      </dsp:nvSpPr>
      <dsp:spPr>
        <a:xfrm rot="5400000">
          <a:off x="2767201" y="496405"/>
          <a:ext cx="180596" cy="2167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dirty="0"/>
            <a:t>Yes</a:t>
          </a:r>
        </a:p>
      </dsp:txBody>
      <dsp:txXfrm rot="-5400000">
        <a:off x="2792485" y="514465"/>
        <a:ext cx="130029" cy="126417"/>
      </dsp:txXfrm>
    </dsp:sp>
    <dsp:sp modelId="{131F868A-6318-47F4-A278-50AB24141D21}">
      <dsp:nvSpPr>
        <dsp:cNvPr id="0" name=""/>
        <dsp:cNvSpPr/>
      </dsp:nvSpPr>
      <dsp:spPr>
        <a:xfrm>
          <a:off x="1022508" y="725160"/>
          <a:ext cx="3669983" cy="481589"/>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ASEC pre-screening</a:t>
          </a:r>
        </a:p>
        <a:p>
          <a:pPr marL="0" lvl="0" indent="0" algn="ctr" defTabSz="444500">
            <a:lnSpc>
              <a:spcPct val="90000"/>
            </a:lnSpc>
            <a:spcBef>
              <a:spcPct val="0"/>
            </a:spcBef>
            <a:spcAft>
              <a:spcPct val="35000"/>
            </a:spcAft>
            <a:buNone/>
          </a:pPr>
          <a:r>
            <a:rPr lang="en-US" sz="1000" kern="1200" dirty="0"/>
            <a:t>(15 calendar days)  </a:t>
          </a:r>
        </a:p>
      </dsp:txBody>
      <dsp:txXfrm>
        <a:off x="1036613" y="739265"/>
        <a:ext cx="3641773" cy="453379"/>
      </dsp:txXfrm>
    </dsp:sp>
    <dsp:sp modelId="{B1240FE8-6448-4D4F-BFCE-DDFAD48FD9E2}">
      <dsp:nvSpPr>
        <dsp:cNvPr id="0" name=""/>
        <dsp:cNvSpPr/>
      </dsp:nvSpPr>
      <dsp:spPr>
        <a:xfrm rot="5400000">
          <a:off x="2767201" y="1218790"/>
          <a:ext cx="180596" cy="2167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dirty="0"/>
            <a:t>Yes</a:t>
          </a:r>
        </a:p>
      </dsp:txBody>
      <dsp:txXfrm rot="-5400000">
        <a:off x="2792485" y="1236850"/>
        <a:ext cx="130029" cy="126417"/>
      </dsp:txXfrm>
    </dsp:sp>
    <dsp:sp modelId="{A8048CE2-4FDF-4652-9A71-DDD538E02C8F}">
      <dsp:nvSpPr>
        <dsp:cNvPr id="0" name=""/>
        <dsp:cNvSpPr/>
      </dsp:nvSpPr>
      <dsp:spPr>
        <a:xfrm>
          <a:off x="970968" y="1447545"/>
          <a:ext cx="3773062" cy="855274"/>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AKFTA-WGEC consideration and approval</a:t>
          </a:r>
        </a:p>
        <a:p>
          <a:pPr marL="0" lvl="0" indent="0" algn="ctr" defTabSz="444500">
            <a:lnSpc>
              <a:spcPct val="90000"/>
            </a:lnSpc>
            <a:spcBef>
              <a:spcPct val="0"/>
            </a:spcBef>
            <a:spcAft>
              <a:spcPct val="35000"/>
            </a:spcAft>
            <a:buNone/>
          </a:pPr>
          <a:r>
            <a:rPr lang="en-US" sz="1000" kern="1200" dirty="0"/>
            <a:t>(15 calendar days)  </a:t>
          </a:r>
        </a:p>
      </dsp:txBody>
      <dsp:txXfrm>
        <a:off x="996018" y="1472595"/>
        <a:ext cx="3722962" cy="805174"/>
      </dsp:txXfrm>
    </dsp:sp>
    <dsp:sp modelId="{95FF5749-5A60-49AE-87A7-16FEA2E9054D}">
      <dsp:nvSpPr>
        <dsp:cNvPr id="0" name=""/>
        <dsp:cNvSpPr/>
      </dsp:nvSpPr>
      <dsp:spPr>
        <a:xfrm rot="5400000">
          <a:off x="2767201" y="2314859"/>
          <a:ext cx="180596" cy="2167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dirty="0"/>
            <a:t>Yes</a:t>
          </a:r>
        </a:p>
      </dsp:txBody>
      <dsp:txXfrm rot="-5400000">
        <a:off x="2792485" y="2332919"/>
        <a:ext cx="130029" cy="126417"/>
      </dsp:txXfrm>
    </dsp:sp>
    <dsp:sp modelId="{CCF2A17F-7E8E-4A07-83FC-C1D56DEBE764}">
      <dsp:nvSpPr>
        <dsp:cNvPr id="0" name=""/>
        <dsp:cNvSpPr/>
      </dsp:nvSpPr>
      <dsp:spPr>
        <a:xfrm>
          <a:off x="1056855" y="2543614"/>
          <a:ext cx="3601289" cy="860239"/>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AKFTA-IC consideration and approval</a:t>
          </a:r>
        </a:p>
        <a:p>
          <a:pPr marL="0" lvl="0" indent="0" algn="ctr" defTabSz="444500">
            <a:lnSpc>
              <a:spcPct val="90000"/>
            </a:lnSpc>
            <a:spcBef>
              <a:spcPct val="0"/>
            </a:spcBef>
            <a:spcAft>
              <a:spcPct val="35000"/>
            </a:spcAft>
            <a:buNone/>
          </a:pPr>
          <a:r>
            <a:rPr lang="en-US" sz="1000" kern="1200" dirty="0"/>
            <a:t>(15 calendar days)  </a:t>
          </a:r>
        </a:p>
      </dsp:txBody>
      <dsp:txXfrm>
        <a:off x="1082051" y="2568810"/>
        <a:ext cx="3550897" cy="809847"/>
      </dsp:txXfrm>
    </dsp:sp>
    <dsp:sp modelId="{4A5E6BED-CBBE-4D7B-B31B-C6C1BD8413CE}">
      <dsp:nvSpPr>
        <dsp:cNvPr id="0" name=""/>
        <dsp:cNvSpPr/>
      </dsp:nvSpPr>
      <dsp:spPr>
        <a:xfrm rot="5400000">
          <a:off x="2767201" y="3415894"/>
          <a:ext cx="180596" cy="2167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dirty="0"/>
            <a:t>Yes</a:t>
          </a:r>
        </a:p>
      </dsp:txBody>
      <dsp:txXfrm rot="-5400000">
        <a:off x="2792485" y="3433954"/>
        <a:ext cx="130029" cy="126417"/>
      </dsp:txXfrm>
    </dsp:sp>
    <dsp:sp modelId="{C01DAE4B-33A8-4E51-A74C-17936724F8B3}">
      <dsp:nvSpPr>
        <dsp:cNvPr id="0" name=""/>
        <dsp:cNvSpPr/>
      </dsp:nvSpPr>
      <dsp:spPr>
        <a:xfrm>
          <a:off x="1108385" y="3644649"/>
          <a:ext cx="3498229" cy="481589"/>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Project Implementation </a:t>
          </a:r>
        </a:p>
      </dsp:txBody>
      <dsp:txXfrm>
        <a:off x="1122490" y="3658754"/>
        <a:ext cx="3470019" cy="453379"/>
      </dsp:txXfrm>
    </dsp:sp>
    <dsp:sp modelId="{934A464D-E5F1-4A76-B40C-311FD526AE51}">
      <dsp:nvSpPr>
        <dsp:cNvPr id="0" name=""/>
        <dsp:cNvSpPr/>
      </dsp:nvSpPr>
      <dsp:spPr>
        <a:xfrm rot="5400000">
          <a:off x="2767201" y="4138278"/>
          <a:ext cx="180596" cy="21671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US" sz="800" kern="1200" dirty="0"/>
            <a:t>Yes</a:t>
          </a:r>
        </a:p>
      </dsp:txBody>
      <dsp:txXfrm rot="-5400000">
        <a:off x="2792485" y="4156338"/>
        <a:ext cx="130029" cy="126417"/>
      </dsp:txXfrm>
    </dsp:sp>
    <dsp:sp modelId="{3C3E0983-218D-4EF4-AACA-F15D56A1EDE3}">
      <dsp:nvSpPr>
        <dsp:cNvPr id="0" name=""/>
        <dsp:cNvSpPr/>
      </dsp:nvSpPr>
      <dsp:spPr>
        <a:xfrm>
          <a:off x="1102461" y="4367033"/>
          <a:ext cx="3510076" cy="481589"/>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t>Completion and Financial Report</a:t>
          </a:r>
        </a:p>
      </dsp:txBody>
      <dsp:txXfrm>
        <a:off x="1116566" y="4381138"/>
        <a:ext cx="3481866" cy="4533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4829-EBC1-44A1-BC59-B3DD9084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ASEAN SECRETARIAT</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Yen</dc:creator>
  <cp:lastModifiedBy>Waranya Phupittkphol</cp:lastModifiedBy>
  <cp:revision>3</cp:revision>
  <dcterms:created xsi:type="dcterms:W3CDTF">2022-04-08T05:27:00Z</dcterms:created>
  <dcterms:modified xsi:type="dcterms:W3CDTF">2022-04-08T05:27:00Z</dcterms:modified>
</cp:coreProperties>
</file>